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248C" w14:textId="77777777" w:rsidR="007B7564" w:rsidRPr="005D77DF" w:rsidRDefault="007B7564" w:rsidP="007B7564">
      <w:pPr>
        <w:pStyle w:val="Heading1"/>
      </w:pPr>
      <w:bookmarkStart w:id="0" w:name="_Toc190427200"/>
      <w:r w:rsidRPr="005D77DF">
        <w:t>NDIS Insights 202</w:t>
      </w:r>
      <w:r>
        <w:t>4</w:t>
      </w:r>
      <w:r w:rsidRPr="005D77DF">
        <w:t>-2</w:t>
      </w:r>
      <w:r>
        <w:t>5</w:t>
      </w:r>
      <w:bookmarkEnd w:id="0"/>
    </w:p>
    <w:p w14:paraId="7F4FDC55" w14:textId="77777777" w:rsidR="007B7564" w:rsidRDefault="007B7564" w:rsidP="007B7564">
      <w:pPr>
        <w:rPr>
          <w:sz w:val="28"/>
          <w:szCs w:val="32"/>
        </w:rPr>
      </w:pPr>
      <w:r w:rsidRPr="00B931B7">
        <w:rPr>
          <w:sz w:val="28"/>
          <w:szCs w:val="32"/>
        </w:rPr>
        <w:t>Justice and Equity Centre</w:t>
      </w:r>
    </w:p>
    <w:p w14:paraId="148E4D30" w14:textId="77777777" w:rsidR="0013722A" w:rsidRDefault="0013722A" w:rsidP="007B7564">
      <w:pPr>
        <w:rPr>
          <w:sz w:val="28"/>
          <w:szCs w:val="32"/>
        </w:rPr>
      </w:pPr>
    </w:p>
    <w:p w14:paraId="61629CE6" w14:textId="77777777" w:rsidR="0013722A" w:rsidRPr="0075539A" w:rsidRDefault="0013722A" w:rsidP="0075539A">
      <w:pPr>
        <w:rPr>
          <w:b/>
          <w:bCs/>
          <w:szCs w:val="22"/>
        </w:rPr>
      </w:pPr>
      <w:r w:rsidRPr="0075539A">
        <w:rPr>
          <w:b/>
          <w:bCs/>
          <w:szCs w:val="22"/>
        </w:rPr>
        <w:t>This report has been prepared by the Justice and Equity Centre (JEC), a leading, independent law and policy centre based in Sydney. Established in 1982 as the Public Interest Advocacy Centre (PIAC), we work with people and communities who are experiencing marginalisation or disadvantage.</w:t>
      </w:r>
    </w:p>
    <w:p w14:paraId="2CEFEF11" w14:textId="45AC99AF" w:rsidR="0013722A" w:rsidRPr="0075539A" w:rsidRDefault="0013722A" w:rsidP="0075539A">
      <w:pPr>
        <w:rPr>
          <w:szCs w:val="22"/>
        </w:rPr>
      </w:pPr>
      <w:r w:rsidRPr="0075539A">
        <w:rPr>
          <w:szCs w:val="22"/>
        </w:rPr>
        <w:t>This report contains general information. It is not intended as legal advice and is not a substitute for legal advice from a qualified professional.</w:t>
      </w:r>
    </w:p>
    <w:p w14:paraId="0BB32709" w14:textId="77777777" w:rsidR="0013722A" w:rsidRPr="0075539A" w:rsidRDefault="0013722A" w:rsidP="0075539A">
      <w:pPr>
        <w:rPr>
          <w:szCs w:val="22"/>
        </w:rPr>
      </w:pPr>
      <w:r w:rsidRPr="0075539A">
        <w:rPr>
          <w:szCs w:val="22"/>
        </w:rPr>
        <w:t>We acknowledge and pay our respects to the Gadigal as the Traditional Owners of the land on which our office stands. We recognise that sovereignty over Gadigal land was never ceded and stand with First Nations people in their struggle for justice.</w:t>
      </w:r>
    </w:p>
    <w:p w14:paraId="0B790450" w14:textId="0990B4EE" w:rsidR="0013722A" w:rsidRDefault="0013722A" w:rsidP="0075539A">
      <w:r>
        <w:br w:type="page"/>
      </w:r>
    </w:p>
    <w:p w14:paraId="50EEAE23" w14:textId="77777777" w:rsidR="00EF6571" w:rsidRDefault="007B7564" w:rsidP="00C141EE">
      <w:pPr>
        <w:pStyle w:val="Heading2"/>
        <w:rPr>
          <w:noProof/>
        </w:rPr>
      </w:pPr>
      <w:bookmarkStart w:id="1" w:name="_Toc147844634"/>
      <w:bookmarkStart w:id="2" w:name="_Toc147844797"/>
      <w:bookmarkStart w:id="3" w:name="_Toc147845040"/>
      <w:bookmarkStart w:id="4" w:name="_Toc190427201"/>
      <w:r w:rsidRPr="00C12299">
        <w:lastRenderedPageBreak/>
        <w:t>Contents</w:t>
      </w:r>
      <w:bookmarkEnd w:id="1"/>
      <w:bookmarkEnd w:id="2"/>
      <w:bookmarkEnd w:id="3"/>
      <w:bookmarkEnd w:id="4"/>
      <w:r w:rsidR="00C141EE">
        <w:rPr>
          <w:kern w:val="32"/>
          <w:sz w:val="32"/>
        </w:rPr>
        <w:fldChar w:fldCharType="begin"/>
      </w:r>
      <w:r w:rsidR="00C141EE">
        <w:rPr>
          <w:kern w:val="32"/>
          <w:sz w:val="32"/>
        </w:rPr>
        <w:instrText xml:space="preserve"> TOC \o "1-2" \h \z </w:instrText>
      </w:r>
      <w:r w:rsidR="00C141EE">
        <w:rPr>
          <w:kern w:val="32"/>
          <w:sz w:val="32"/>
        </w:rPr>
        <w:fldChar w:fldCharType="separate"/>
      </w:r>
    </w:p>
    <w:p w14:paraId="09AEF805" w14:textId="7363A29F"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02" w:history="1">
        <w:r w:rsidRPr="00AB32B9">
          <w:rPr>
            <w:rStyle w:val="Hyperlink"/>
            <w:lang w:val="en-AU"/>
          </w:rPr>
          <w:t>1.</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Introduction</w:t>
        </w:r>
        <w:r>
          <w:rPr>
            <w:webHidden/>
          </w:rPr>
          <w:tab/>
        </w:r>
        <w:r>
          <w:rPr>
            <w:webHidden/>
          </w:rPr>
          <w:fldChar w:fldCharType="begin"/>
        </w:r>
        <w:r>
          <w:rPr>
            <w:webHidden/>
          </w:rPr>
          <w:instrText xml:space="preserve"> PAGEREF _Toc190427202 \h </w:instrText>
        </w:r>
        <w:r>
          <w:rPr>
            <w:webHidden/>
          </w:rPr>
        </w:r>
        <w:r>
          <w:rPr>
            <w:webHidden/>
          </w:rPr>
          <w:fldChar w:fldCharType="separate"/>
        </w:r>
        <w:r w:rsidR="00DD41C3">
          <w:rPr>
            <w:webHidden/>
          </w:rPr>
          <w:t>3</w:t>
        </w:r>
        <w:r>
          <w:rPr>
            <w:webHidden/>
          </w:rPr>
          <w:fldChar w:fldCharType="end"/>
        </w:r>
      </w:hyperlink>
    </w:p>
    <w:p w14:paraId="186D99E8" w14:textId="759EA421"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03" w:history="1">
        <w:r w:rsidRPr="00AB32B9">
          <w:rPr>
            <w:rStyle w:val="Hyperlink"/>
            <w:lang w:val="en-AU"/>
          </w:rPr>
          <w:t>2.</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Changes to the NDIS Act and Rules</w:t>
        </w:r>
        <w:r>
          <w:rPr>
            <w:webHidden/>
          </w:rPr>
          <w:tab/>
        </w:r>
        <w:r>
          <w:rPr>
            <w:webHidden/>
          </w:rPr>
          <w:fldChar w:fldCharType="begin"/>
        </w:r>
        <w:r>
          <w:rPr>
            <w:webHidden/>
          </w:rPr>
          <w:instrText xml:space="preserve"> PAGEREF _Toc190427203 \h </w:instrText>
        </w:r>
        <w:r>
          <w:rPr>
            <w:webHidden/>
          </w:rPr>
        </w:r>
        <w:r>
          <w:rPr>
            <w:webHidden/>
          </w:rPr>
          <w:fldChar w:fldCharType="separate"/>
        </w:r>
        <w:r w:rsidR="00DD41C3">
          <w:rPr>
            <w:webHidden/>
          </w:rPr>
          <w:t>3</w:t>
        </w:r>
        <w:r>
          <w:rPr>
            <w:webHidden/>
          </w:rPr>
          <w:fldChar w:fldCharType="end"/>
        </w:r>
      </w:hyperlink>
    </w:p>
    <w:p w14:paraId="3FB614B3" w14:textId="6CB81389"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04" w:history="1">
        <w:r w:rsidRPr="00AB32B9">
          <w:rPr>
            <w:rStyle w:val="Hyperlink"/>
            <w:noProof/>
          </w:rPr>
          <w:t>2.1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Changes to decision-making about NDIS access</w:t>
        </w:r>
        <w:r>
          <w:rPr>
            <w:noProof/>
            <w:webHidden/>
          </w:rPr>
          <w:tab/>
        </w:r>
        <w:r>
          <w:rPr>
            <w:noProof/>
            <w:webHidden/>
          </w:rPr>
          <w:fldChar w:fldCharType="begin"/>
        </w:r>
        <w:r>
          <w:rPr>
            <w:noProof/>
            <w:webHidden/>
          </w:rPr>
          <w:instrText xml:space="preserve"> PAGEREF _Toc190427204 \h </w:instrText>
        </w:r>
        <w:r>
          <w:rPr>
            <w:noProof/>
            <w:webHidden/>
          </w:rPr>
        </w:r>
        <w:r>
          <w:rPr>
            <w:noProof/>
            <w:webHidden/>
          </w:rPr>
          <w:fldChar w:fldCharType="separate"/>
        </w:r>
        <w:r w:rsidR="00DD41C3">
          <w:rPr>
            <w:noProof/>
            <w:webHidden/>
          </w:rPr>
          <w:t>4</w:t>
        </w:r>
        <w:r>
          <w:rPr>
            <w:noProof/>
            <w:webHidden/>
          </w:rPr>
          <w:fldChar w:fldCharType="end"/>
        </w:r>
      </w:hyperlink>
    </w:p>
    <w:p w14:paraId="4744F271" w14:textId="5BF0268E"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05" w:history="1">
        <w:r w:rsidRPr="00AB32B9">
          <w:rPr>
            <w:rStyle w:val="Hyperlink"/>
            <w:noProof/>
          </w:rPr>
          <w:t>2.2</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Changes to plans and planning</w:t>
        </w:r>
        <w:r>
          <w:rPr>
            <w:noProof/>
            <w:webHidden/>
          </w:rPr>
          <w:tab/>
        </w:r>
        <w:r>
          <w:rPr>
            <w:noProof/>
            <w:webHidden/>
          </w:rPr>
          <w:fldChar w:fldCharType="begin"/>
        </w:r>
        <w:r>
          <w:rPr>
            <w:noProof/>
            <w:webHidden/>
          </w:rPr>
          <w:instrText xml:space="preserve"> PAGEREF _Toc190427205 \h </w:instrText>
        </w:r>
        <w:r>
          <w:rPr>
            <w:noProof/>
            <w:webHidden/>
          </w:rPr>
        </w:r>
        <w:r>
          <w:rPr>
            <w:noProof/>
            <w:webHidden/>
          </w:rPr>
          <w:fldChar w:fldCharType="separate"/>
        </w:r>
        <w:r w:rsidR="00DD41C3">
          <w:rPr>
            <w:noProof/>
            <w:webHidden/>
          </w:rPr>
          <w:t>4</w:t>
        </w:r>
        <w:r>
          <w:rPr>
            <w:noProof/>
            <w:webHidden/>
          </w:rPr>
          <w:fldChar w:fldCharType="end"/>
        </w:r>
      </w:hyperlink>
    </w:p>
    <w:p w14:paraId="3B15A39B" w14:textId="6035558A"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06" w:history="1">
        <w:r w:rsidRPr="00AB32B9">
          <w:rPr>
            <w:rStyle w:val="Hyperlink"/>
            <w:noProof/>
          </w:rPr>
          <w:t>2.3</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Flexible funding packages</w:t>
        </w:r>
        <w:r>
          <w:rPr>
            <w:noProof/>
            <w:webHidden/>
          </w:rPr>
          <w:tab/>
        </w:r>
        <w:r>
          <w:rPr>
            <w:noProof/>
            <w:webHidden/>
          </w:rPr>
          <w:fldChar w:fldCharType="begin"/>
        </w:r>
        <w:r>
          <w:rPr>
            <w:noProof/>
            <w:webHidden/>
          </w:rPr>
          <w:instrText xml:space="preserve"> PAGEREF _Toc190427206 \h </w:instrText>
        </w:r>
        <w:r>
          <w:rPr>
            <w:noProof/>
            <w:webHidden/>
          </w:rPr>
        </w:r>
        <w:r>
          <w:rPr>
            <w:noProof/>
            <w:webHidden/>
          </w:rPr>
          <w:fldChar w:fldCharType="separate"/>
        </w:r>
        <w:r w:rsidR="00DD41C3">
          <w:rPr>
            <w:noProof/>
            <w:webHidden/>
          </w:rPr>
          <w:t>4</w:t>
        </w:r>
        <w:r>
          <w:rPr>
            <w:noProof/>
            <w:webHidden/>
          </w:rPr>
          <w:fldChar w:fldCharType="end"/>
        </w:r>
      </w:hyperlink>
    </w:p>
    <w:p w14:paraId="483240E2" w14:textId="47CE0A51"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07" w:history="1">
        <w:r w:rsidRPr="00AB32B9">
          <w:rPr>
            <w:rStyle w:val="Hyperlink"/>
            <w:noProof/>
          </w:rPr>
          <w:t>2.4</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NDIS supports list</w:t>
        </w:r>
        <w:r>
          <w:rPr>
            <w:noProof/>
            <w:webHidden/>
          </w:rPr>
          <w:tab/>
        </w:r>
        <w:r>
          <w:rPr>
            <w:noProof/>
            <w:webHidden/>
          </w:rPr>
          <w:fldChar w:fldCharType="begin"/>
        </w:r>
        <w:r>
          <w:rPr>
            <w:noProof/>
            <w:webHidden/>
          </w:rPr>
          <w:instrText xml:space="preserve"> PAGEREF _Toc190427207 \h </w:instrText>
        </w:r>
        <w:r>
          <w:rPr>
            <w:noProof/>
            <w:webHidden/>
          </w:rPr>
        </w:r>
        <w:r>
          <w:rPr>
            <w:noProof/>
            <w:webHidden/>
          </w:rPr>
          <w:fldChar w:fldCharType="separate"/>
        </w:r>
        <w:r w:rsidR="00DD41C3">
          <w:rPr>
            <w:noProof/>
            <w:webHidden/>
          </w:rPr>
          <w:t>5</w:t>
        </w:r>
        <w:r>
          <w:rPr>
            <w:noProof/>
            <w:webHidden/>
          </w:rPr>
          <w:fldChar w:fldCharType="end"/>
        </w:r>
      </w:hyperlink>
    </w:p>
    <w:p w14:paraId="4AEFF432" w14:textId="1A5CE259"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08" w:history="1">
        <w:r w:rsidRPr="00AB32B9">
          <w:rPr>
            <w:rStyle w:val="Hyperlink"/>
            <w:noProof/>
          </w:rPr>
          <w:t>2.5</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Other reforms</w:t>
        </w:r>
        <w:r>
          <w:rPr>
            <w:noProof/>
            <w:webHidden/>
          </w:rPr>
          <w:tab/>
        </w:r>
        <w:r>
          <w:rPr>
            <w:noProof/>
            <w:webHidden/>
          </w:rPr>
          <w:fldChar w:fldCharType="begin"/>
        </w:r>
        <w:r>
          <w:rPr>
            <w:noProof/>
            <w:webHidden/>
          </w:rPr>
          <w:instrText xml:space="preserve"> PAGEREF _Toc190427208 \h </w:instrText>
        </w:r>
        <w:r>
          <w:rPr>
            <w:noProof/>
            <w:webHidden/>
          </w:rPr>
        </w:r>
        <w:r>
          <w:rPr>
            <w:noProof/>
            <w:webHidden/>
          </w:rPr>
          <w:fldChar w:fldCharType="separate"/>
        </w:r>
        <w:r w:rsidR="00DD41C3">
          <w:rPr>
            <w:noProof/>
            <w:webHidden/>
          </w:rPr>
          <w:t>5</w:t>
        </w:r>
        <w:r>
          <w:rPr>
            <w:noProof/>
            <w:webHidden/>
          </w:rPr>
          <w:fldChar w:fldCharType="end"/>
        </w:r>
      </w:hyperlink>
    </w:p>
    <w:p w14:paraId="7277F0B0" w14:textId="35094A82"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09" w:history="1">
        <w:r w:rsidRPr="00AB32B9">
          <w:rPr>
            <w:rStyle w:val="Hyperlink"/>
            <w:lang w:val="en-AU"/>
          </w:rPr>
          <w:t>3.</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Co-design of reforms</w:t>
        </w:r>
        <w:r>
          <w:rPr>
            <w:webHidden/>
          </w:rPr>
          <w:tab/>
        </w:r>
        <w:r>
          <w:rPr>
            <w:webHidden/>
          </w:rPr>
          <w:fldChar w:fldCharType="begin"/>
        </w:r>
        <w:r>
          <w:rPr>
            <w:webHidden/>
          </w:rPr>
          <w:instrText xml:space="preserve"> PAGEREF _Toc190427209 \h </w:instrText>
        </w:r>
        <w:r>
          <w:rPr>
            <w:webHidden/>
          </w:rPr>
        </w:r>
        <w:r>
          <w:rPr>
            <w:webHidden/>
          </w:rPr>
          <w:fldChar w:fldCharType="separate"/>
        </w:r>
        <w:r w:rsidR="00DD41C3">
          <w:rPr>
            <w:webHidden/>
          </w:rPr>
          <w:t>6</w:t>
        </w:r>
        <w:r>
          <w:rPr>
            <w:webHidden/>
          </w:rPr>
          <w:fldChar w:fldCharType="end"/>
        </w:r>
      </w:hyperlink>
    </w:p>
    <w:p w14:paraId="7E59778F" w14:textId="7978CBE9"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10" w:history="1">
        <w:r w:rsidRPr="00AB32B9">
          <w:rPr>
            <w:rStyle w:val="Hyperlink"/>
            <w:lang w:val="en-AU"/>
          </w:rPr>
          <w:t>4.</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NDIS supports lists</w:t>
        </w:r>
        <w:r>
          <w:rPr>
            <w:webHidden/>
          </w:rPr>
          <w:tab/>
        </w:r>
        <w:r>
          <w:rPr>
            <w:webHidden/>
          </w:rPr>
          <w:fldChar w:fldCharType="begin"/>
        </w:r>
        <w:r>
          <w:rPr>
            <w:webHidden/>
          </w:rPr>
          <w:instrText xml:space="preserve"> PAGEREF _Toc190427210 \h </w:instrText>
        </w:r>
        <w:r>
          <w:rPr>
            <w:webHidden/>
          </w:rPr>
        </w:r>
        <w:r>
          <w:rPr>
            <w:webHidden/>
          </w:rPr>
          <w:fldChar w:fldCharType="separate"/>
        </w:r>
        <w:r w:rsidR="00DD41C3">
          <w:rPr>
            <w:webHidden/>
          </w:rPr>
          <w:t>6</w:t>
        </w:r>
        <w:r>
          <w:rPr>
            <w:webHidden/>
          </w:rPr>
          <w:fldChar w:fldCharType="end"/>
        </w:r>
      </w:hyperlink>
    </w:p>
    <w:p w14:paraId="494CB13E" w14:textId="1C71EB49"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11" w:history="1">
        <w:r w:rsidRPr="00AB32B9">
          <w:rPr>
            <w:rStyle w:val="Hyperlink"/>
            <w:noProof/>
          </w:rPr>
          <w:t>4.1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What is included?</w:t>
        </w:r>
        <w:r>
          <w:rPr>
            <w:noProof/>
            <w:webHidden/>
          </w:rPr>
          <w:tab/>
        </w:r>
        <w:r>
          <w:rPr>
            <w:noProof/>
            <w:webHidden/>
          </w:rPr>
          <w:fldChar w:fldCharType="begin"/>
        </w:r>
        <w:r>
          <w:rPr>
            <w:noProof/>
            <w:webHidden/>
          </w:rPr>
          <w:instrText xml:space="preserve"> PAGEREF _Toc190427211 \h </w:instrText>
        </w:r>
        <w:r>
          <w:rPr>
            <w:noProof/>
            <w:webHidden/>
          </w:rPr>
        </w:r>
        <w:r>
          <w:rPr>
            <w:noProof/>
            <w:webHidden/>
          </w:rPr>
          <w:fldChar w:fldCharType="separate"/>
        </w:r>
        <w:r w:rsidR="00DD41C3">
          <w:rPr>
            <w:noProof/>
            <w:webHidden/>
          </w:rPr>
          <w:t>6</w:t>
        </w:r>
        <w:r>
          <w:rPr>
            <w:noProof/>
            <w:webHidden/>
          </w:rPr>
          <w:fldChar w:fldCharType="end"/>
        </w:r>
      </w:hyperlink>
    </w:p>
    <w:p w14:paraId="1E3880F3" w14:textId="3D91F847"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12" w:history="1">
        <w:r w:rsidRPr="00AB32B9">
          <w:rPr>
            <w:rStyle w:val="Hyperlink"/>
            <w:noProof/>
          </w:rPr>
          <w:t>4.2</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What is excluded?</w:t>
        </w:r>
        <w:r>
          <w:rPr>
            <w:noProof/>
            <w:webHidden/>
          </w:rPr>
          <w:tab/>
        </w:r>
        <w:r>
          <w:rPr>
            <w:noProof/>
            <w:webHidden/>
          </w:rPr>
          <w:fldChar w:fldCharType="begin"/>
        </w:r>
        <w:r>
          <w:rPr>
            <w:noProof/>
            <w:webHidden/>
          </w:rPr>
          <w:instrText xml:space="preserve"> PAGEREF _Toc190427212 \h </w:instrText>
        </w:r>
        <w:r>
          <w:rPr>
            <w:noProof/>
            <w:webHidden/>
          </w:rPr>
        </w:r>
        <w:r>
          <w:rPr>
            <w:noProof/>
            <w:webHidden/>
          </w:rPr>
          <w:fldChar w:fldCharType="separate"/>
        </w:r>
        <w:r w:rsidR="00DD41C3">
          <w:rPr>
            <w:noProof/>
            <w:webHidden/>
          </w:rPr>
          <w:t>7</w:t>
        </w:r>
        <w:r>
          <w:rPr>
            <w:noProof/>
            <w:webHidden/>
          </w:rPr>
          <w:fldChar w:fldCharType="end"/>
        </w:r>
      </w:hyperlink>
    </w:p>
    <w:p w14:paraId="78B7B38E" w14:textId="135F547C"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13" w:history="1">
        <w:r w:rsidRPr="00AB32B9">
          <w:rPr>
            <w:rStyle w:val="Hyperlink"/>
            <w:noProof/>
          </w:rPr>
          <w:t>4.3</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What happens if NDIS funds are spent on a non-approved support?</w:t>
        </w:r>
        <w:r>
          <w:rPr>
            <w:noProof/>
            <w:webHidden/>
          </w:rPr>
          <w:tab/>
        </w:r>
        <w:r>
          <w:rPr>
            <w:noProof/>
            <w:webHidden/>
          </w:rPr>
          <w:fldChar w:fldCharType="begin"/>
        </w:r>
        <w:r>
          <w:rPr>
            <w:noProof/>
            <w:webHidden/>
          </w:rPr>
          <w:instrText xml:space="preserve"> PAGEREF _Toc190427213 \h </w:instrText>
        </w:r>
        <w:r>
          <w:rPr>
            <w:noProof/>
            <w:webHidden/>
          </w:rPr>
        </w:r>
        <w:r>
          <w:rPr>
            <w:noProof/>
            <w:webHidden/>
          </w:rPr>
          <w:fldChar w:fldCharType="separate"/>
        </w:r>
        <w:r w:rsidR="00DD41C3">
          <w:rPr>
            <w:noProof/>
            <w:webHidden/>
          </w:rPr>
          <w:t>7</w:t>
        </w:r>
        <w:r>
          <w:rPr>
            <w:noProof/>
            <w:webHidden/>
          </w:rPr>
          <w:fldChar w:fldCharType="end"/>
        </w:r>
      </w:hyperlink>
    </w:p>
    <w:p w14:paraId="3A704127" w14:textId="5BE2EFAC"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14" w:history="1">
        <w:r w:rsidRPr="00AB32B9">
          <w:rPr>
            <w:rStyle w:val="Hyperlink"/>
            <w:lang w:val="en-AU"/>
          </w:rPr>
          <w:t>5.</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Foundational supports</w:t>
        </w:r>
        <w:r>
          <w:rPr>
            <w:webHidden/>
          </w:rPr>
          <w:tab/>
        </w:r>
        <w:r>
          <w:rPr>
            <w:webHidden/>
          </w:rPr>
          <w:fldChar w:fldCharType="begin"/>
        </w:r>
        <w:r>
          <w:rPr>
            <w:webHidden/>
          </w:rPr>
          <w:instrText xml:space="preserve"> PAGEREF _Toc190427214 \h </w:instrText>
        </w:r>
        <w:r>
          <w:rPr>
            <w:webHidden/>
          </w:rPr>
        </w:r>
        <w:r>
          <w:rPr>
            <w:webHidden/>
          </w:rPr>
          <w:fldChar w:fldCharType="separate"/>
        </w:r>
        <w:r w:rsidR="00DD41C3">
          <w:rPr>
            <w:webHidden/>
          </w:rPr>
          <w:t>8</w:t>
        </w:r>
        <w:r>
          <w:rPr>
            <w:webHidden/>
          </w:rPr>
          <w:fldChar w:fldCharType="end"/>
        </w:r>
      </w:hyperlink>
    </w:p>
    <w:p w14:paraId="7F8044AA" w14:textId="34CFA555"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15" w:history="1">
        <w:r w:rsidRPr="00AB32B9">
          <w:rPr>
            <w:rStyle w:val="Hyperlink"/>
            <w:noProof/>
          </w:rPr>
          <w:t>5.1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Consultation process for foundational supports</w:t>
        </w:r>
        <w:r>
          <w:rPr>
            <w:noProof/>
            <w:webHidden/>
          </w:rPr>
          <w:tab/>
        </w:r>
        <w:r>
          <w:rPr>
            <w:noProof/>
            <w:webHidden/>
          </w:rPr>
          <w:fldChar w:fldCharType="begin"/>
        </w:r>
        <w:r>
          <w:rPr>
            <w:noProof/>
            <w:webHidden/>
          </w:rPr>
          <w:instrText xml:space="preserve"> PAGEREF _Toc190427215 \h </w:instrText>
        </w:r>
        <w:r>
          <w:rPr>
            <w:noProof/>
            <w:webHidden/>
          </w:rPr>
        </w:r>
        <w:r>
          <w:rPr>
            <w:noProof/>
            <w:webHidden/>
          </w:rPr>
          <w:fldChar w:fldCharType="separate"/>
        </w:r>
        <w:r w:rsidR="00DD41C3">
          <w:rPr>
            <w:noProof/>
            <w:webHidden/>
          </w:rPr>
          <w:t>8</w:t>
        </w:r>
        <w:r>
          <w:rPr>
            <w:noProof/>
            <w:webHidden/>
          </w:rPr>
          <w:fldChar w:fldCharType="end"/>
        </w:r>
      </w:hyperlink>
    </w:p>
    <w:p w14:paraId="76D7233E" w14:textId="1F12C9B3"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16" w:history="1">
        <w:r w:rsidRPr="00AB32B9">
          <w:rPr>
            <w:rStyle w:val="Hyperlink"/>
            <w:lang w:val="en-AU"/>
          </w:rPr>
          <w:t>6.</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Commencement of the Administrative Review Tribunal</w:t>
        </w:r>
        <w:r>
          <w:rPr>
            <w:webHidden/>
          </w:rPr>
          <w:tab/>
        </w:r>
        <w:r>
          <w:rPr>
            <w:webHidden/>
          </w:rPr>
          <w:fldChar w:fldCharType="begin"/>
        </w:r>
        <w:r>
          <w:rPr>
            <w:webHidden/>
          </w:rPr>
          <w:instrText xml:space="preserve"> PAGEREF _Toc190427216 \h </w:instrText>
        </w:r>
        <w:r>
          <w:rPr>
            <w:webHidden/>
          </w:rPr>
        </w:r>
        <w:r>
          <w:rPr>
            <w:webHidden/>
          </w:rPr>
          <w:fldChar w:fldCharType="separate"/>
        </w:r>
        <w:r w:rsidR="00DD41C3">
          <w:rPr>
            <w:webHidden/>
          </w:rPr>
          <w:t>9</w:t>
        </w:r>
        <w:r>
          <w:rPr>
            <w:webHidden/>
          </w:rPr>
          <w:fldChar w:fldCharType="end"/>
        </w:r>
      </w:hyperlink>
    </w:p>
    <w:p w14:paraId="366FFA89" w14:textId="1267BB52"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17" w:history="1">
        <w:r w:rsidRPr="00AB32B9">
          <w:rPr>
            <w:rStyle w:val="Hyperlink"/>
            <w:noProof/>
          </w:rPr>
          <w:t>6.1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Early implementation issues for the ART</w:t>
        </w:r>
        <w:r>
          <w:rPr>
            <w:noProof/>
            <w:webHidden/>
          </w:rPr>
          <w:tab/>
        </w:r>
        <w:r>
          <w:rPr>
            <w:noProof/>
            <w:webHidden/>
          </w:rPr>
          <w:fldChar w:fldCharType="begin"/>
        </w:r>
        <w:r>
          <w:rPr>
            <w:noProof/>
            <w:webHidden/>
          </w:rPr>
          <w:instrText xml:space="preserve"> PAGEREF _Toc190427217 \h </w:instrText>
        </w:r>
        <w:r>
          <w:rPr>
            <w:noProof/>
            <w:webHidden/>
          </w:rPr>
        </w:r>
        <w:r>
          <w:rPr>
            <w:noProof/>
            <w:webHidden/>
          </w:rPr>
          <w:fldChar w:fldCharType="separate"/>
        </w:r>
        <w:r w:rsidR="00DD41C3">
          <w:rPr>
            <w:noProof/>
            <w:webHidden/>
          </w:rPr>
          <w:t>9</w:t>
        </w:r>
        <w:r>
          <w:rPr>
            <w:noProof/>
            <w:webHidden/>
          </w:rPr>
          <w:fldChar w:fldCharType="end"/>
        </w:r>
      </w:hyperlink>
    </w:p>
    <w:p w14:paraId="00EB1ABD" w14:textId="391C7D24"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18" w:history="1">
        <w:r w:rsidRPr="00AB32B9">
          <w:rPr>
            <w:rStyle w:val="Hyperlink"/>
            <w:lang w:val="en-AU"/>
          </w:rPr>
          <w:t>7.</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Provider quality, accountability and compliance</w:t>
        </w:r>
        <w:r>
          <w:rPr>
            <w:webHidden/>
          </w:rPr>
          <w:tab/>
        </w:r>
        <w:r>
          <w:rPr>
            <w:webHidden/>
          </w:rPr>
          <w:fldChar w:fldCharType="begin"/>
        </w:r>
        <w:r>
          <w:rPr>
            <w:webHidden/>
          </w:rPr>
          <w:instrText xml:space="preserve"> PAGEREF _Toc190427218 \h </w:instrText>
        </w:r>
        <w:r>
          <w:rPr>
            <w:webHidden/>
          </w:rPr>
        </w:r>
        <w:r>
          <w:rPr>
            <w:webHidden/>
          </w:rPr>
          <w:fldChar w:fldCharType="separate"/>
        </w:r>
        <w:r w:rsidR="00DD41C3">
          <w:rPr>
            <w:webHidden/>
          </w:rPr>
          <w:t>10</w:t>
        </w:r>
        <w:r>
          <w:rPr>
            <w:webHidden/>
          </w:rPr>
          <w:fldChar w:fldCharType="end"/>
        </w:r>
      </w:hyperlink>
    </w:p>
    <w:p w14:paraId="566D6447" w14:textId="451C7D0A"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19" w:history="1">
        <w:r w:rsidRPr="00AB32B9">
          <w:rPr>
            <w:rStyle w:val="Hyperlink"/>
            <w:lang w:val="en-AU"/>
          </w:rPr>
          <w:t>8.</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Response to the Disability Royal Commission</w:t>
        </w:r>
        <w:r>
          <w:rPr>
            <w:webHidden/>
          </w:rPr>
          <w:tab/>
        </w:r>
        <w:r>
          <w:rPr>
            <w:webHidden/>
          </w:rPr>
          <w:fldChar w:fldCharType="begin"/>
        </w:r>
        <w:r>
          <w:rPr>
            <w:webHidden/>
          </w:rPr>
          <w:instrText xml:space="preserve"> PAGEREF _Toc190427219 \h </w:instrText>
        </w:r>
        <w:r>
          <w:rPr>
            <w:webHidden/>
          </w:rPr>
        </w:r>
        <w:r>
          <w:rPr>
            <w:webHidden/>
          </w:rPr>
          <w:fldChar w:fldCharType="separate"/>
        </w:r>
        <w:r w:rsidR="00DD41C3">
          <w:rPr>
            <w:webHidden/>
          </w:rPr>
          <w:t>11</w:t>
        </w:r>
        <w:r>
          <w:rPr>
            <w:webHidden/>
          </w:rPr>
          <w:fldChar w:fldCharType="end"/>
        </w:r>
      </w:hyperlink>
    </w:p>
    <w:p w14:paraId="3DACEAA9" w14:textId="1F6ECAEA"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20" w:history="1">
        <w:r w:rsidRPr="00AB32B9">
          <w:rPr>
            <w:rStyle w:val="Hyperlink"/>
            <w:lang w:val="en-AU"/>
          </w:rPr>
          <w:t>9.</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Court and Tribunal decisions</w:t>
        </w:r>
        <w:r>
          <w:rPr>
            <w:webHidden/>
          </w:rPr>
          <w:tab/>
        </w:r>
        <w:r>
          <w:rPr>
            <w:webHidden/>
          </w:rPr>
          <w:fldChar w:fldCharType="begin"/>
        </w:r>
        <w:r>
          <w:rPr>
            <w:webHidden/>
          </w:rPr>
          <w:instrText xml:space="preserve"> PAGEREF _Toc190427220 \h </w:instrText>
        </w:r>
        <w:r>
          <w:rPr>
            <w:webHidden/>
          </w:rPr>
        </w:r>
        <w:r>
          <w:rPr>
            <w:webHidden/>
          </w:rPr>
          <w:fldChar w:fldCharType="separate"/>
        </w:r>
        <w:r w:rsidR="00DD41C3">
          <w:rPr>
            <w:webHidden/>
          </w:rPr>
          <w:t>11</w:t>
        </w:r>
        <w:r>
          <w:rPr>
            <w:webHidden/>
          </w:rPr>
          <w:fldChar w:fldCharType="end"/>
        </w:r>
      </w:hyperlink>
    </w:p>
    <w:p w14:paraId="2DB325CB" w14:textId="45E90418"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1" w:history="1">
        <w:r w:rsidRPr="00AB32B9">
          <w:rPr>
            <w:rStyle w:val="Hyperlink"/>
            <w:noProof/>
          </w:rPr>
          <w:t>9.1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Federal Court decisions</w:t>
        </w:r>
        <w:r>
          <w:rPr>
            <w:noProof/>
            <w:webHidden/>
          </w:rPr>
          <w:tab/>
        </w:r>
        <w:r>
          <w:rPr>
            <w:noProof/>
            <w:webHidden/>
          </w:rPr>
          <w:fldChar w:fldCharType="begin"/>
        </w:r>
        <w:r>
          <w:rPr>
            <w:noProof/>
            <w:webHidden/>
          </w:rPr>
          <w:instrText xml:space="preserve"> PAGEREF _Toc190427221 \h </w:instrText>
        </w:r>
        <w:r>
          <w:rPr>
            <w:noProof/>
            <w:webHidden/>
          </w:rPr>
        </w:r>
        <w:r>
          <w:rPr>
            <w:noProof/>
            <w:webHidden/>
          </w:rPr>
          <w:fldChar w:fldCharType="separate"/>
        </w:r>
        <w:r w:rsidR="00DD41C3">
          <w:rPr>
            <w:noProof/>
            <w:webHidden/>
          </w:rPr>
          <w:t>11</w:t>
        </w:r>
        <w:r>
          <w:rPr>
            <w:noProof/>
            <w:webHidden/>
          </w:rPr>
          <w:fldChar w:fldCharType="end"/>
        </w:r>
      </w:hyperlink>
    </w:p>
    <w:p w14:paraId="4CBDB2C3" w14:textId="469FA843"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2" w:history="1">
        <w:r w:rsidRPr="00AB32B9">
          <w:rPr>
            <w:rStyle w:val="Hyperlink"/>
            <w:noProof/>
          </w:rPr>
          <w:t>9.2</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Specialist Disability Accommodation and other housing supports</w:t>
        </w:r>
        <w:r>
          <w:rPr>
            <w:noProof/>
            <w:webHidden/>
          </w:rPr>
          <w:tab/>
        </w:r>
        <w:r>
          <w:rPr>
            <w:noProof/>
            <w:webHidden/>
          </w:rPr>
          <w:fldChar w:fldCharType="begin"/>
        </w:r>
        <w:r>
          <w:rPr>
            <w:noProof/>
            <w:webHidden/>
          </w:rPr>
          <w:instrText xml:space="preserve"> PAGEREF _Toc190427222 \h </w:instrText>
        </w:r>
        <w:r>
          <w:rPr>
            <w:noProof/>
            <w:webHidden/>
          </w:rPr>
        </w:r>
        <w:r>
          <w:rPr>
            <w:noProof/>
            <w:webHidden/>
          </w:rPr>
          <w:fldChar w:fldCharType="separate"/>
        </w:r>
        <w:r w:rsidR="00DD41C3">
          <w:rPr>
            <w:noProof/>
            <w:webHidden/>
          </w:rPr>
          <w:t>12</w:t>
        </w:r>
        <w:r>
          <w:rPr>
            <w:noProof/>
            <w:webHidden/>
          </w:rPr>
          <w:fldChar w:fldCharType="end"/>
        </w:r>
      </w:hyperlink>
    </w:p>
    <w:p w14:paraId="247FD0C3" w14:textId="034BEAA1"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3" w:history="1">
        <w:r w:rsidRPr="00AB32B9">
          <w:rPr>
            <w:rStyle w:val="Hyperlink"/>
            <w:noProof/>
          </w:rPr>
          <w:t>9.3</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Interfaces with other service delivery systems</w:t>
        </w:r>
        <w:r>
          <w:rPr>
            <w:noProof/>
            <w:webHidden/>
          </w:rPr>
          <w:tab/>
        </w:r>
        <w:r>
          <w:rPr>
            <w:noProof/>
            <w:webHidden/>
          </w:rPr>
          <w:fldChar w:fldCharType="begin"/>
        </w:r>
        <w:r>
          <w:rPr>
            <w:noProof/>
            <w:webHidden/>
          </w:rPr>
          <w:instrText xml:space="preserve"> PAGEREF _Toc190427223 \h </w:instrText>
        </w:r>
        <w:r>
          <w:rPr>
            <w:noProof/>
            <w:webHidden/>
          </w:rPr>
        </w:r>
        <w:r>
          <w:rPr>
            <w:noProof/>
            <w:webHidden/>
          </w:rPr>
          <w:fldChar w:fldCharType="separate"/>
        </w:r>
        <w:r w:rsidR="00DD41C3">
          <w:rPr>
            <w:noProof/>
            <w:webHidden/>
          </w:rPr>
          <w:t>13</w:t>
        </w:r>
        <w:r>
          <w:rPr>
            <w:noProof/>
            <w:webHidden/>
          </w:rPr>
          <w:fldChar w:fldCharType="end"/>
        </w:r>
      </w:hyperlink>
    </w:p>
    <w:p w14:paraId="56788E39" w14:textId="24A094AB"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4" w:history="1">
        <w:r w:rsidRPr="00AB32B9">
          <w:rPr>
            <w:rStyle w:val="Hyperlink"/>
            <w:noProof/>
          </w:rPr>
          <w:t>9.4</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Other types of supports</w:t>
        </w:r>
        <w:r>
          <w:rPr>
            <w:noProof/>
            <w:webHidden/>
          </w:rPr>
          <w:tab/>
        </w:r>
        <w:r>
          <w:rPr>
            <w:noProof/>
            <w:webHidden/>
          </w:rPr>
          <w:fldChar w:fldCharType="begin"/>
        </w:r>
        <w:r>
          <w:rPr>
            <w:noProof/>
            <w:webHidden/>
          </w:rPr>
          <w:instrText xml:space="preserve"> PAGEREF _Toc190427224 \h </w:instrText>
        </w:r>
        <w:r>
          <w:rPr>
            <w:noProof/>
            <w:webHidden/>
          </w:rPr>
        </w:r>
        <w:r>
          <w:rPr>
            <w:noProof/>
            <w:webHidden/>
          </w:rPr>
          <w:fldChar w:fldCharType="separate"/>
        </w:r>
        <w:r w:rsidR="00DD41C3">
          <w:rPr>
            <w:noProof/>
            <w:webHidden/>
          </w:rPr>
          <w:t>13</w:t>
        </w:r>
        <w:r>
          <w:rPr>
            <w:noProof/>
            <w:webHidden/>
          </w:rPr>
          <w:fldChar w:fldCharType="end"/>
        </w:r>
      </w:hyperlink>
    </w:p>
    <w:p w14:paraId="69F50230" w14:textId="67E48A46"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5" w:history="1">
        <w:r w:rsidRPr="00AB32B9">
          <w:rPr>
            <w:rStyle w:val="Hyperlink"/>
            <w:noProof/>
          </w:rPr>
          <w:t>9.5</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Tribunal powers and processes</w:t>
        </w:r>
        <w:r>
          <w:rPr>
            <w:noProof/>
            <w:webHidden/>
          </w:rPr>
          <w:tab/>
        </w:r>
        <w:r>
          <w:rPr>
            <w:noProof/>
            <w:webHidden/>
          </w:rPr>
          <w:fldChar w:fldCharType="begin"/>
        </w:r>
        <w:r>
          <w:rPr>
            <w:noProof/>
            <w:webHidden/>
          </w:rPr>
          <w:instrText xml:space="preserve"> PAGEREF _Toc190427225 \h </w:instrText>
        </w:r>
        <w:r>
          <w:rPr>
            <w:noProof/>
            <w:webHidden/>
          </w:rPr>
        </w:r>
        <w:r>
          <w:rPr>
            <w:noProof/>
            <w:webHidden/>
          </w:rPr>
          <w:fldChar w:fldCharType="separate"/>
        </w:r>
        <w:r w:rsidR="00DD41C3">
          <w:rPr>
            <w:noProof/>
            <w:webHidden/>
          </w:rPr>
          <w:t>14</w:t>
        </w:r>
        <w:r>
          <w:rPr>
            <w:noProof/>
            <w:webHidden/>
          </w:rPr>
          <w:fldChar w:fldCharType="end"/>
        </w:r>
      </w:hyperlink>
    </w:p>
    <w:p w14:paraId="7761D156" w14:textId="2C9474D1" w:rsidR="00EF6571" w:rsidRDefault="00EF6571">
      <w:pPr>
        <w:pStyle w:val="TOC1"/>
        <w:rPr>
          <w:rFonts w:asciiTheme="minorHAnsi" w:eastAsiaTheme="minorEastAsia" w:hAnsiTheme="minorHAnsi" w:cstheme="minorBidi"/>
          <w:b w:val="0"/>
          <w:kern w:val="2"/>
          <w:lang w:val="en-AU" w:eastAsia="en-GB"/>
          <w14:ligatures w14:val="standardContextual"/>
        </w:rPr>
      </w:pPr>
      <w:hyperlink w:anchor="_Toc190427226" w:history="1">
        <w:r w:rsidRPr="00AB32B9">
          <w:rPr>
            <w:rStyle w:val="Hyperlink"/>
            <w:lang w:val="en-AU"/>
          </w:rPr>
          <w:t>10.</w:t>
        </w:r>
        <w:r>
          <w:rPr>
            <w:rFonts w:asciiTheme="minorHAnsi" w:eastAsiaTheme="minorEastAsia" w:hAnsiTheme="minorHAnsi" w:cstheme="minorBidi"/>
            <w:b w:val="0"/>
            <w:kern w:val="2"/>
            <w:lang w:val="en-AU" w:eastAsia="en-GB"/>
            <w14:ligatures w14:val="standardContextual"/>
          </w:rPr>
          <w:tab/>
        </w:r>
        <w:r w:rsidRPr="00AB32B9">
          <w:rPr>
            <w:rStyle w:val="Hyperlink"/>
            <w:lang w:val="en-AU"/>
          </w:rPr>
          <w:t>What does the future hold?</w:t>
        </w:r>
        <w:r>
          <w:rPr>
            <w:webHidden/>
          </w:rPr>
          <w:tab/>
        </w:r>
        <w:r>
          <w:rPr>
            <w:webHidden/>
          </w:rPr>
          <w:fldChar w:fldCharType="begin"/>
        </w:r>
        <w:r>
          <w:rPr>
            <w:webHidden/>
          </w:rPr>
          <w:instrText xml:space="preserve"> PAGEREF _Toc190427226 \h </w:instrText>
        </w:r>
        <w:r>
          <w:rPr>
            <w:webHidden/>
          </w:rPr>
        </w:r>
        <w:r>
          <w:rPr>
            <w:webHidden/>
          </w:rPr>
          <w:fldChar w:fldCharType="separate"/>
        </w:r>
        <w:r w:rsidR="00DD41C3">
          <w:rPr>
            <w:webHidden/>
          </w:rPr>
          <w:t>15</w:t>
        </w:r>
        <w:r>
          <w:rPr>
            <w:webHidden/>
          </w:rPr>
          <w:fldChar w:fldCharType="end"/>
        </w:r>
      </w:hyperlink>
    </w:p>
    <w:p w14:paraId="7EA8D1A4" w14:textId="2C5B1FF1"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7" w:history="1">
        <w:r w:rsidRPr="00AB32B9">
          <w:rPr>
            <w:rStyle w:val="Hyperlink"/>
            <w:noProof/>
          </w:rPr>
          <w:t>10.1</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Legislative reform and leadership change</w:t>
        </w:r>
        <w:r>
          <w:rPr>
            <w:noProof/>
            <w:webHidden/>
          </w:rPr>
          <w:tab/>
        </w:r>
        <w:r>
          <w:rPr>
            <w:noProof/>
            <w:webHidden/>
          </w:rPr>
          <w:fldChar w:fldCharType="begin"/>
        </w:r>
        <w:r>
          <w:rPr>
            <w:noProof/>
            <w:webHidden/>
          </w:rPr>
          <w:instrText xml:space="preserve"> PAGEREF _Toc190427227 \h </w:instrText>
        </w:r>
        <w:r>
          <w:rPr>
            <w:noProof/>
            <w:webHidden/>
          </w:rPr>
        </w:r>
        <w:r>
          <w:rPr>
            <w:noProof/>
            <w:webHidden/>
          </w:rPr>
          <w:fldChar w:fldCharType="separate"/>
        </w:r>
        <w:r w:rsidR="00DD41C3">
          <w:rPr>
            <w:noProof/>
            <w:webHidden/>
          </w:rPr>
          <w:t>15</w:t>
        </w:r>
        <w:r>
          <w:rPr>
            <w:noProof/>
            <w:webHidden/>
          </w:rPr>
          <w:fldChar w:fldCharType="end"/>
        </w:r>
      </w:hyperlink>
    </w:p>
    <w:p w14:paraId="2D7F7518" w14:textId="76F5EE6D"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8" w:history="1">
        <w:r w:rsidRPr="00AB32B9">
          <w:rPr>
            <w:rStyle w:val="Hyperlink"/>
            <w:noProof/>
          </w:rPr>
          <w:t>10.2</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Accountability and compliance measures</w:t>
        </w:r>
        <w:r>
          <w:rPr>
            <w:noProof/>
            <w:webHidden/>
          </w:rPr>
          <w:tab/>
        </w:r>
        <w:r>
          <w:rPr>
            <w:noProof/>
            <w:webHidden/>
          </w:rPr>
          <w:fldChar w:fldCharType="begin"/>
        </w:r>
        <w:r>
          <w:rPr>
            <w:noProof/>
            <w:webHidden/>
          </w:rPr>
          <w:instrText xml:space="preserve"> PAGEREF _Toc190427228 \h </w:instrText>
        </w:r>
        <w:r>
          <w:rPr>
            <w:noProof/>
            <w:webHidden/>
          </w:rPr>
        </w:r>
        <w:r>
          <w:rPr>
            <w:noProof/>
            <w:webHidden/>
          </w:rPr>
          <w:fldChar w:fldCharType="separate"/>
        </w:r>
        <w:r w:rsidR="00DD41C3">
          <w:rPr>
            <w:noProof/>
            <w:webHidden/>
          </w:rPr>
          <w:t>15</w:t>
        </w:r>
        <w:r>
          <w:rPr>
            <w:noProof/>
            <w:webHidden/>
          </w:rPr>
          <w:fldChar w:fldCharType="end"/>
        </w:r>
      </w:hyperlink>
    </w:p>
    <w:p w14:paraId="0DBBDE95" w14:textId="56AD06C2"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29" w:history="1">
        <w:r w:rsidRPr="00AB32B9">
          <w:rPr>
            <w:rStyle w:val="Hyperlink"/>
            <w:noProof/>
          </w:rPr>
          <w:t>10.3</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Continued co-design processes</w:t>
        </w:r>
        <w:r>
          <w:rPr>
            <w:noProof/>
            <w:webHidden/>
          </w:rPr>
          <w:tab/>
        </w:r>
        <w:r>
          <w:rPr>
            <w:noProof/>
            <w:webHidden/>
          </w:rPr>
          <w:fldChar w:fldCharType="begin"/>
        </w:r>
        <w:r>
          <w:rPr>
            <w:noProof/>
            <w:webHidden/>
          </w:rPr>
          <w:instrText xml:space="preserve"> PAGEREF _Toc190427229 \h </w:instrText>
        </w:r>
        <w:r>
          <w:rPr>
            <w:noProof/>
            <w:webHidden/>
          </w:rPr>
        </w:r>
        <w:r>
          <w:rPr>
            <w:noProof/>
            <w:webHidden/>
          </w:rPr>
          <w:fldChar w:fldCharType="separate"/>
        </w:r>
        <w:r w:rsidR="00DD41C3">
          <w:rPr>
            <w:noProof/>
            <w:webHidden/>
          </w:rPr>
          <w:t>15</w:t>
        </w:r>
        <w:r>
          <w:rPr>
            <w:noProof/>
            <w:webHidden/>
          </w:rPr>
          <w:fldChar w:fldCharType="end"/>
        </w:r>
      </w:hyperlink>
    </w:p>
    <w:p w14:paraId="7B56AAD4" w14:textId="7B04A02B" w:rsidR="00EF6571" w:rsidRDefault="00EF6571">
      <w:pPr>
        <w:pStyle w:val="TOC2"/>
        <w:rPr>
          <w:rFonts w:asciiTheme="minorHAnsi" w:eastAsiaTheme="minorEastAsia" w:hAnsiTheme="minorHAnsi" w:cstheme="minorBidi"/>
          <w:noProof/>
          <w:kern w:val="2"/>
          <w:sz w:val="24"/>
          <w:lang w:val="en-AU" w:eastAsia="en-GB"/>
          <w14:ligatures w14:val="standardContextual"/>
        </w:rPr>
      </w:pPr>
      <w:hyperlink w:anchor="_Toc190427230" w:history="1">
        <w:r w:rsidRPr="00AB32B9">
          <w:rPr>
            <w:rStyle w:val="Hyperlink"/>
            <w:noProof/>
          </w:rPr>
          <w:t>10.4</w:t>
        </w:r>
        <w:r>
          <w:rPr>
            <w:rFonts w:asciiTheme="minorHAnsi" w:eastAsiaTheme="minorEastAsia" w:hAnsiTheme="minorHAnsi" w:cstheme="minorBidi"/>
            <w:noProof/>
            <w:kern w:val="2"/>
            <w:sz w:val="24"/>
            <w:lang w:val="en-AU" w:eastAsia="en-GB"/>
            <w14:ligatures w14:val="standardContextual"/>
          </w:rPr>
          <w:tab/>
        </w:r>
        <w:r w:rsidRPr="00AB32B9">
          <w:rPr>
            <w:rStyle w:val="Hyperlink"/>
            <w:noProof/>
          </w:rPr>
          <w:t>Foundational supports</w:t>
        </w:r>
        <w:r>
          <w:rPr>
            <w:noProof/>
            <w:webHidden/>
          </w:rPr>
          <w:tab/>
        </w:r>
        <w:r>
          <w:rPr>
            <w:noProof/>
            <w:webHidden/>
          </w:rPr>
          <w:fldChar w:fldCharType="begin"/>
        </w:r>
        <w:r>
          <w:rPr>
            <w:noProof/>
            <w:webHidden/>
          </w:rPr>
          <w:instrText xml:space="preserve"> PAGEREF _Toc190427230 \h </w:instrText>
        </w:r>
        <w:r>
          <w:rPr>
            <w:noProof/>
            <w:webHidden/>
          </w:rPr>
        </w:r>
        <w:r>
          <w:rPr>
            <w:noProof/>
            <w:webHidden/>
          </w:rPr>
          <w:fldChar w:fldCharType="separate"/>
        </w:r>
        <w:r w:rsidR="00DD41C3">
          <w:rPr>
            <w:noProof/>
            <w:webHidden/>
          </w:rPr>
          <w:t>16</w:t>
        </w:r>
        <w:r>
          <w:rPr>
            <w:noProof/>
            <w:webHidden/>
          </w:rPr>
          <w:fldChar w:fldCharType="end"/>
        </w:r>
      </w:hyperlink>
    </w:p>
    <w:p w14:paraId="52461F6D" w14:textId="003FE994" w:rsidR="007B7564" w:rsidRDefault="00C141EE" w:rsidP="00C141EE">
      <w:pPr>
        <w:pStyle w:val="Heading2"/>
      </w:pPr>
      <w:r>
        <w:rPr>
          <w:kern w:val="32"/>
          <w:sz w:val="32"/>
        </w:rPr>
        <w:fldChar w:fldCharType="end"/>
      </w:r>
    </w:p>
    <w:p w14:paraId="673083BE" w14:textId="77777777" w:rsidR="007B7564" w:rsidRDefault="007B7564" w:rsidP="007B7564">
      <w:pPr>
        <w:rPr>
          <w:rFonts w:cs="Arial"/>
        </w:rPr>
      </w:pPr>
    </w:p>
    <w:p w14:paraId="1A92E15D" w14:textId="2648C408" w:rsidR="00AF4297" w:rsidRDefault="007778D4" w:rsidP="007778D4">
      <w:pPr>
        <w:pStyle w:val="NumberedHeading1"/>
        <w:rPr>
          <w:lang w:val="en-AU"/>
        </w:rPr>
      </w:pPr>
      <w:bookmarkStart w:id="5" w:name="_Toc190427202"/>
      <w:r>
        <w:rPr>
          <w:lang w:val="en-AU"/>
        </w:rPr>
        <w:lastRenderedPageBreak/>
        <w:t>Introduction</w:t>
      </w:r>
      <w:bookmarkEnd w:id="5"/>
      <w:r>
        <w:rPr>
          <w:lang w:val="en-AU"/>
        </w:rPr>
        <w:t xml:space="preserve"> </w:t>
      </w:r>
    </w:p>
    <w:p w14:paraId="36922E23" w14:textId="42AEB9A4" w:rsidR="004562D7" w:rsidRDefault="00FD2A75" w:rsidP="004562D7">
      <w:pPr>
        <w:rPr>
          <w:lang w:val="en-AU"/>
        </w:rPr>
      </w:pPr>
      <w:r>
        <w:rPr>
          <w:lang w:val="en-AU"/>
        </w:rPr>
        <w:t>As many had expected</w:t>
      </w:r>
      <w:r w:rsidR="001207F3">
        <w:rPr>
          <w:lang w:val="en-AU"/>
        </w:rPr>
        <w:t xml:space="preserve">, </w:t>
      </w:r>
      <w:r w:rsidR="004562D7" w:rsidRPr="004562D7">
        <w:rPr>
          <w:lang w:val="en-AU"/>
        </w:rPr>
        <w:t xml:space="preserve">2024 </w:t>
      </w:r>
      <w:r w:rsidR="001207F3">
        <w:rPr>
          <w:lang w:val="en-AU"/>
        </w:rPr>
        <w:t xml:space="preserve">was </w:t>
      </w:r>
      <w:r w:rsidR="004562D7" w:rsidRPr="004562D7">
        <w:rPr>
          <w:lang w:val="en-AU"/>
        </w:rPr>
        <w:t xml:space="preserve">a pivotal year for the National Disability Insurance Scheme (‘NDIS’).   </w:t>
      </w:r>
    </w:p>
    <w:p w14:paraId="4DB4D074" w14:textId="797ECDE0" w:rsidR="005242D3" w:rsidRPr="004562D7" w:rsidRDefault="00573FD0" w:rsidP="004562D7">
      <w:pPr>
        <w:rPr>
          <w:lang w:val="en-AU"/>
        </w:rPr>
      </w:pPr>
      <w:r>
        <w:rPr>
          <w:lang w:val="en-AU"/>
        </w:rPr>
        <w:t xml:space="preserve">The </w:t>
      </w:r>
      <w:r w:rsidR="00E05493">
        <w:rPr>
          <w:lang w:val="en-AU"/>
        </w:rPr>
        <w:t>Austr</w:t>
      </w:r>
      <w:r w:rsidR="00E9568A">
        <w:rPr>
          <w:lang w:val="en-AU"/>
        </w:rPr>
        <w:t>alian</w:t>
      </w:r>
      <w:r>
        <w:rPr>
          <w:lang w:val="en-AU"/>
        </w:rPr>
        <w:t xml:space="preserve"> Parliament passed the</w:t>
      </w:r>
      <w:r w:rsidR="005242D3">
        <w:rPr>
          <w:lang w:val="en-AU"/>
        </w:rPr>
        <w:t xml:space="preserve"> most substantial </w:t>
      </w:r>
      <w:r w:rsidR="00CA13C2">
        <w:rPr>
          <w:lang w:val="en-AU"/>
        </w:rPr>
        <w:t>reforms</w:t>
      </w:r>
      <w:r w:rsidR="005242D3">
        <w:rPr>
          <w:lang w:val="en-AU"/>
        </w:rPr>
        <w:t xml:space="preserve"> to </w:t>
      </w:r>
      <w:r>
        <w:rPr>
          <w:lang w:val="en-AU"/>
        </w:rPr>
        <w:t>NDIS</w:t>
      </w:r>
      <w:r w:rsidR="005242D3">
        <w:rPr>
          <w:lang w:val="en-AU"/>
        </w:rPr>
        <w:t xml:space="preserve"> law</w:t>
      </w:r>
      <w:r w:rsidR="00891E37">
        <w:rPr>
          <w:lang w:val="en-AU"/>
        </w:rPr>
        <w:t>s</w:t>
      </w:r>
      <w:r w:rsidR="005242D3">
        <w:rPr>
          <w:lang w:val="en-AU"/>
        </w:rPr>
        <w:t xml:space="preserve"> </w:t>
      </w:r>
      <w:r w:rsidR="00636D17">
        <w:rPr>
          <w:lang w:val="en-AU"/>
        </w:rPr>
        <w:t xml:space="preserve">since the </w:t>
      </w:r>
      <w:r w:rsidR="00E35B24">
        <w:rPr>
          <w:lang w:val="en-AU"/>
        </w:rPr>
        <w:t>S</w:t>
      </w:r>
      <w:r>
        <w:rPr>
          <w:lang w:val="en-AU"/>
        </w:rPr>
        <w:t>cheme</w:t>
      </w:r>
      <w:r w:rsidR="00636D17">
        <w:rPr>
          <w:lang w:val="en-AU"/>
        </w:rPr>
        <w:t xml:space="preserve"> was </w:t>
      </w:r>
      <w:r w:rsidR="007E7C99">
        <w:rPr>
          <w:lang w:val="en-AU"/>
        </w:rPr>
        <w:t>introduced</w:t>
      </w:r>
      <w:r w:rsidR="00636D17">
        <w:rPr>
          <w:lang w:val="en-AU"/>
        </w:rPr>
        <w:t xml:space="preserve"> </w:t>
      </w:r>
      <w:r>
        <w:rPr>
          <w:lang w:val="en-AU"/>
        </w:rPr>
        <w:t xml:space="preserve">more than </w:t>
      </w:r>
      <w:r w:rsidR="00636D17">
        <w:rPr>
          <w:lang w:val="en-AU"/>
        </w:rPr>
        <w:t>a decade ago</w:t>
      </w:r>
      <w:r w:rsidR="007F61AF">
        <w:rPr>
          <w:lang w:val="en-AU"/>
        </w:rPr>
        <w:t xml:space="preserve">. </w:t>
      </w:r>
      <w:r w:rsidR="002078A2">
        <w:rPr>
          <w:lang w:val="en-AU"/>
        </w:rPr>
        <w:t>This brought</w:t>
      </w:r>
      <w:r w:rsidR="007F61AF">
        <w:rPr>
          <w:lang w:val="en-AU"/>
        </w:rPr>
        <w:t xml:space="preserve"> </w:t>
      </w:r>
      <w:r w:rsidR="00FE7B28">
        <w:rPr>
          <w:lang w:val="en-AU"/>
        </w:rPr>
        <w:t xml:space="preserve">notable </w:t>
      </w:r>
      <w:r w:rsidR="00166EE0">
        <w:rPr>
          <w:lang w:val="en-AU"/>
        </w:rPr>
        <w:t xml:space="preserve">changes to how </w:t>
      </w:r>
      <w:r w:rsidR="00B14511" w:rsidRPr="004562D7">
        <w:rPr>
          <w:lang w:val="en-AU"/>
        </w:rPr>
        <w:t xml:space="preserve">participants </w:t>
      </w:r>
      <w:r w:rsidR="003932CF">
        <w:rPr>
          <w:lang w:val="en-AU"/>
        </w:rPr>
        <w:t>will be</w:t>
      </w:r>
      <w:r w:rsidR="003932CF" w:rsidRPr="004562D7">
        <w:rPr>
          <w:lang w:val="en-AU"/>
        </w:rPr>
        <w:t xml:space="preserve"> </w:t>
      </w:r>
      <w:r w:rsidR="00B14511" w:rsidRPr="004562D7">
        <w:rPr>
          <w:lang w:val="en-AU"/>
        </w:rPr>
        <w:t xml:space="preserve">funded for disability supports and </w:t>
      </w:r>
      <w:r w:rsidR="00B14511">
        <w:rPr>
          <w:lang w:val="en-AU"/>
        </w:rPr>
        <w:t>which</w:t>
      </w:r>
      <w:r w:rsidR="00B14511" w:rsidRPr="004562D7">
        <w:rPr>
          <w:lang w:val="en-AU"/>
        </w:rPr>
        <w:t xml:space="preserve"> supports they can access</w:t>
      </w:r>
      <w:r w:rsidR="00C856D3">
        <w:rPr>
          <w:lang w:val="en-AU"/>
        </w:rPr>
        <w:t xml:space="preserve">. The reforms were the Government’s first </w:t>
      </w:r>
      <w:r w:rsidR="00FD27B4">
        <w:rPr>
          <w:lang w:val="en-AU"/>
        </w:rPr>
        <w:t>reaction</w:t>
      </w:r>
      <w:r w:rsidR="00C856D3">
        <w:rPr>
          <w:lang w:val="en-AU"/>
        </w:rPr>
        <w:t xml:space="preserve"> to </w:t>
      </w:r>
      <w:r w:rsidR="0022741B" w:rsidRPr="004562D7">
        <w:rPr>
          <w:lang w:val="en-AU"/>
        </w:rPr>
        <w:t xml:space="preserve">the recommendations of the </w:t>
      </w:r>
      <w:hyperlink r:id="rId11" w:history="1">
        <w:r w:rsidR="0022741B" w:rsidRPr="005B79AA">
          <w:rPr>
            <w:rStyle w:val="Hyperlink"/>
            <w:lang w:val="en-AU"/>
          </w:rPr>
          <w:t>NDIS Review Final Report</w:t>
        </w:r>
      </w:hyperlink>
      <w:r w:rsidR="0022741B">
        <w:rPr>
          <w:lang w:val="en-AU"/>
        </w:rPr>
        <w:t xml:space="preserve"> – although we are yet </w:t>
      </w:r>
      <w:r w:rsidR="004B5583">
        <w:rPr>
          <w:lang w:val="en-AU"/>
        </w:rPr>
        <w:t>to see its formal response.</w:t>
      </w:r>
    </w:p>
    <w:p w14:paraId="339FB630" w14:textId="0CE4BACF" w:rsidR="004562D7" w:rsidRPr="004562D7" w:rsidRDefault="004562D7" w:rsidP="004562D7">
      <w:pPr>
        <w:rPr>
          <w:lang w:val="en-AU"/>
        </w:rPr>
      </w:pPr>
      <w:r w:rsidRPr="004562D7">
        <w:rPr>
          <w:lang w:val="en-AU"/>
        </w:rPr>
        <w:t xml:space="preserve">Work </w:t>
      </w:r>
      <w:r w:rsidR="00F06B9F">
        <w:rPr>
          <w:lang w:val="en-AU"/>
        </w:rPr>
        <w:t>also</w:t>
      </w:r>
      <w:r w:rsidRPr="004562D7">
        <w:rPr>
          <w:lang w:val="en-AU"/>
        </w:rPr>
        <w:t xml:space="preserve"> began on expanding the ecosystem of supports </w:t>
      </w:r>
      <w:r w:rsidR="00F76C1C">
        <w:rPr>
          <w:lang w:val="en-AU"/>
        </w:rPr>
        <w:t xml:space="preserve">available </w:t>
      </w:r>
      <w:r w:rsidR="00B8217A">
        <w:rPr>
          <w:lang w:val="en-AU"/>
        </w:rPr>
        <w:t xml:space="preserve">to </w:t>
      </w:r>
      <w:r w:rsidR="00C97804">
        <w:rPr>
          <w:lang w:val="en-AU"/>
        </w:rPr>
        <w:t>people</w:t>
      </w:r>
      <w:r w:rsidR="00E67737">
        <w:rPr>
          <w:lang w:val="en-AU"/>
        </w:rPr>
        <w:t xml:space="preserve"> with disability</w:t>
      </w:r>
      <w:r w:rsidR="00EE034E">
        <w:rPr>
          <w:lang w:val="en-AU"/>
        </w:rPr>
        <w:t>, with</w:t>
      </w:r>
      <w:r w:rsidR="00360AA4">
        <w:rPr>
          <w:lang w:val="en-AU"/>
        </w:rPr>
        <w:t xml:space="preserve"> the</w:t>
      </w:r>
      <w:r w:rsidR="00EE034E">
        <w:rPr>
          <w:lang w:val="en-AU"/>
        </w:rPr>
        <w:t xml:space="preserve"> Commonwealth, </w:t>
      </w:r>
      <w:r w:rsidR="00360AA4">
        <w:rPr>
          <w:lang w:val="en-AU"/>
        </w:rPr>
        <w:t>S</w:t>
      </w:r>
      <w:r w:rsidR="0B37DB09" w:rsidRPr="0E9156D5">
        <w:rPr>
          <w:lang w:val="en-AU"/>
        </w:rPr>
        <w:t>tate</w:t>
      </w:r>
      <w:r w:rsidR="00EE034E">
        <w:rPr>
          <w:lang w:val="en-AU"/>
        </w:rPr>
        <w:t xml:space="preserve"> and</w:t>
      </w:r>
      <w:r w:rsidR="0B37DB09" w:rsidRPr="2064D9D2">
        <w:rPr>
          <w:lang w:val="en-AU"/>
        </w:rPr>
        <w:t xml:space="preserve"> </w:t>
      </w:r>
      <w:r w:rsidR="00360AA4">
        <w:rPr>
          <w:lang w:val="en-AU"/>
        </w:rPr>
        <w:t>T</w:t>
      </w:r>
      <w:r w:rsidR="0B37DB09" w:rsidRPr="2064D9D2">
        <w:rPr>
          <w:lang w:val="en-AU"/>
        </w:rPr>
        <w:t xml:space="preserve">erritory </w:t>
      </w:r>
      <w:r w:rsidR="00BE7994">
        <w:rPr>
          <w:lang w:val="en-AU"/>
        </w:rPr>
        <w:t>G</w:t>
      </w:r>
      <w:r w:rsidR="0B37DB09" w:rsidRPr="03970212">
        <w:rPr>
          <w:lang w:val="en-AU"/>
        </w:rPr>
        <w:t>overnments</w:t>
      </w:r>
      <w:r w:rsidR="0B37DB09" w:rsidRPr="2064D9D2">
        <w:rPr>
          <w:lang w:val="en-AU"/>
        </w:rPr>
        <w:t xml:space="preserve"> </w:t>
      </w:r>
      <w:r w:rsidR="0B37DB09" w:rsidRPr="0EE9F6AC">
        <w:rPr>
          <w:lang w:val="en-AU"/>
        </w:rPr>
        <w:t xml:space="preserve">collaborating </w:t>
      </w:r>
      <w:r w:rsidR="008B4D77">
        <w:rPr>
          <w:lang w:val="en-AU"/>
        </w:rPr>
        <w:t>o</w:t>
      </w:r>
      <w:r w:rsidR="00EF130B">
        <w:rPr>
          <w:lang w:val="en-AU"/>
        </w:rPr>
        <w:t>n</w:t>
      </w:r>
      <w:r w:rsidR="008B4D77">
        <w:rPr>
          <w:lang w:val="en-AU"/>
        </w:rPr>
        <w:t xml:space="preserve"> the development of </w:t>
      </w:r>
      <w:r w:rsidR="232B43FC" w:rsidRPr="2064D9D2">
        <w:rPr>
          <w:lang w:val="en-AU"/>
        </w:rPr>
        <w:t>‘</w:t>
      </w:r>
      <w:r w:rsidRPr="004562D7">
        <w:rPr>
          <w:lang w:val="en-AU"/>
        </w:rPr>
        <w:t>foundational supports’</w:t>
      </w:r>
      <w:r w:rsidR="00293F4F">
        <w:rPr>
          <w:lang w:val="en-AU"/>
        </w:rPr>
        <w:t xml:space="preserve"> </w:t>
      </w:r>
      <w:r w:rsidR="00EE034E">
        <w:rPr>
          <w:lang w:val="en-AU"/>
        </w:rPr>
        <w:t>to</w:t>
      </w:r>
      <w:r w:rsidR="00AB65D8">
        <w:rPr>
          <w:lang w:val="en-AU"/>
        </w:rPr>
        <w:t xml:space="preserve"> complement individual supports available </w:t>
      </w:r>
      <w:r w:rsidR="00F63927">
        <w:rPr>
          <w:lang w:val="en-AU"/>
        </w:rPr>
        <w:t>through</w:t>
      </w:r>
      <w:r w:rsidR="00AB65D8">
        <w:rPr>
          <w:lang w:val="en-AU"/>
        </w:rPr>
        <w:t xml:space="preserve"> the NDI</w:t>
      </w:r>
      <w:r w:rsidR="00F63927">
        <w:rPr>
          <w:lang w:val="en-AU"/>
        </w:rPr>
        <w:t>S</w:t>
      </w:r>
      <w:r w:rsidR="0010205D">
        <w:rPr>
          <w:lang w:val="en-AU"/>
        </w:rPr>
        <w:t>.</w:t>
      </w:r>
      <w:r w:rsidRPr="004562D7">
        <w:rPr>
          <w:lang w:val="en-AU"/>
        </w:rPr>
        <w:t xml:space="preserve"> </w:t>
      </w:r>
    </w:p>
    <w:p w14:paraId="2FB03465" w14:textId="23873927" w:rsidR="00B3136A" w:rsidRPr="004562D7" w:rsidRDefault="00B3136A" w:rsidP="004562D7">
      <w:pPr>
        <w:rPr>
          <w:lang w:val="en-AU"/>
        </w:rPr>
      </w:pPr>
      <w:r>
        <w:rPr>
          <w:lang w:val="en-AU"/>
        </w:rPr>
        <w:t>The Government has committed to co-design</w:t>
      </w:r>
      <w:r w:rsidR="0037032B">
        <w:rPr>
          <w:lang w:val="en-AU"/>
        </w:rPr>
        <w:t>ing</w:t>
      </w:r>
      <w:r>
        <w:rPr>
          <w:lang w:val="en-AU"/>
        </w:rPr>
        <w:t xml:space="preserve"> key</w:t>
      </w:r>
      <w:r w:rsidR="00EE0342">
        <w:rPr>
          <w:lang w:val="en-AU"/>
        </w:rPr>
        <w:t xml:space="preserve"> processes central to the</w:t>
      </w:r>
      <w:r>
        <w:rPr>
          <w:lang w:val="en-AU"/>
        </w:rPr>
        <w:t xml:space="preserve"> reforms with the disability community. The newly established NDIS Reform </w:t>
      </w:r>
      <w:r w:rsidR="0040608E">
        <w:rPr>
          <w:lang w:val="en-AU"/>
        </w:rPr>
        <w:t xml:space="preserve">Advisory Committee, led by people with disability, </w:t>
      </w:r>
      <w:r w:rsidR="00274BFB">
        <w:rPr>
          <w:lang w:val="en-AU"/>
        </w:rPr>
        <w:t>will</w:t>
      </w:r>
      <w:r w:rsidR="0040608E">
        <w:rPr>
          <w:lang w:val="en-AU"/>
        </w:rPr>
        <w:t xml:space="preserve"> guide the Government on </w:t>
      </w:r>
      <w:r w:rsidR="00274BFB">
        <w:rPr>
          <w:lang w:val="en-AU"/>
        </w:rPr>
        <w:t>how to achieve</w:t>
      </w:r>
      <w:r w:rsidR="0040608E">
        <w:rPr>
          <w:lang w:val="en-AU"/>
        </w:rPr>
        <w:t xml:space="preserve"> a meaningful co-design process.</w:t>
      </w:r>
    </w:p>
    <w:p w14:paraId="111D0F48" w14:textId="412BC291" w:rsidR="004562D7" w:rsidRPr="004562D7" w:rsidRDefault="004562D7" w:rsidP="004562D7">
      <w:pPr>
        <w:rPr>
          <w:lang w:val="en-AU"/>
        </w:rPr>
      </w:pPr>
      <w:r w:rsidRPr="004562D7">
        <w:rPr>
          <w:lang w:val="en-AU"/>
        </w:rPr>
        <w:t>In 2025</w:t>
      </w:r>
      <w:r w:rsidR="00375946">
        <w:rPr>
          <w:lang w:val="en-AU"/>
        </w:rPr>
        <w:t>,</w:t>
      </w:r>
      <w:r w:rsidRPr="004562D7">
        <w:rPr>
          <w:lang w:val="en-AU"/>
        </w:rPr>
        <w:t xml:space="preserve"> we expect to see further </w:t>
      </w:r>
      <w:r w:rsidR="00C665F1">
        <w:rPr>
          <w:lang w:val="en-AU"/>
        </w:rPr>
        <w:t>reform</w:t>
      </w:r>
      <w:r w:rsidRPr="004562D7">
        <w:rPr>
          <w:lang w:val="en-AU"/>
        </w:rPr>
        <w:t xml:space="preserve">, including </w:t>
      </w:r>
      <w:r w:rsidR="006F05B8">
        <w:rPr>
          <w:lang w:val="en-AU"/>
        </w:rPr>
        <w:t>a</w:t>
      </w:r>
      <w:r w:rsidR="006F05B8" w:rsidRPr="00A62032">
        <w:rPr>
          <w:lang w:val="en-AU"/>
        </w:rPr>
        <w:t xml:space="preserve"> series of </w:t>
      </w:r>
      <w:r w:rsidR="00CE3420">
        <w:rPr>
          <w:lang w:val="en-AU"/>
        </w:rPr>
        <w:t>r</w:t>
      </w:r>
      <w:r w:rsidR="006F05B8" w:rsidRPr="00A62032">
        <w:rPr>
          <w:lang w:val="en-AU"/>
        </w:rPr>
        <w:t xml:space="preserve">ules </w:t>
      </w:r>
      <w:r w:rsidR="3C7FDDB6" w:rsidRPr="29706913">
        <w:rPr>
          <w:lang w:val="en-AU"/>
        </w:rPr>
        <w:t>giv</w:t>
      </w:r>
      <w:r w:rsidR="5CE09F10" w:rsidRPr="29706913">
        <w:rPr>
          <w:lang w:val="en-AU"/>
        </w:rPr>
        <w:t>ing</w:t>
      </w:r>
      <w:r w:rsidR="3C7FDDB6" w:rsidRPr="29706913">
        <w:rPr>
          <w:lang w:val="en-AU"/>
        </w:rPr>
        <w:t xml:space="preserve"> </w:t>
      </w:r>
      <w:r w:rsidR="66F70B1B" w:rsidRPr="29706913">
        <w:rPr>
          <w:lang w:val="en-AU"/>
        </w:rPr>
        <w:t>further</w:t>
      </w:r>
      <w:r w:rsidR="00032C2C">
        <w:rPr>
          <w:lang w:val="en-AU"/>
        </w:rPr>
        <w:t xml:space="preserve"> detail on </w:t>
      </w:r>
      <w:r w:rsidR="00FC1B6C">
        <w:rPr>
          <w:lang w:val="en-AU"/>
        </w:rPr>
        <w:t xml:space="preserve">access and </w:t>
      </w:r>
      <w:r w:rsidR="00032C2C">
        <w:rPr>
          <w:lang w:val="en-AU"/>
        </w:rPr>
        <w:t>planning changes,</w:t>
      </w:r>
      <w:r w:rsidR="006F05B8">
        <w:rPr>
          <w:lang w:val="en-AU"/>
        </w:rPr>
        <w:t xml:space="preserve"> </w:t>
      </w:r>
      <w:r w:rsidR="008445DA">
        <w:rPr>
          <w:lang w:val="en-AU"/>
        </w:rPr>
        <w:t xml:space="preserve">and </w:t>
      </w:r>
      <w:r w:rsidR="00EF087B">
        <w:rPr>
          <w:lang w:val="en-AU"/>
        </w:rPr>
        <w:t>additional</w:t>
      </w:r>
      <w:r w:rsidR="008445DA">
        <w:rPr>
          <w:lang w:val="en-AU"/>
        </w:rPr>
        <w:t xml:space="preserve"> new</w:t>
      </w:r>
      <w:r w:rsidR="00A846DE">
        <w:rPr>
          <w:lang w:val="en-AU"/>
        </w:rPr>
        <w:t xml:space="preserve"> legislation</w:t>
      </w:r>
      <w:r w:rsidR="004E10CC" w:rsidRPr="004562D7">
        <w:rPr>
          <w:lang w:val="en-AU"/>
        </w:rPr>
        <w:t xml:space="preserve"> </w:t>
      </w:r>
      <w:r w:rsidR="00EB1D15">
        <w:rPr>
          <w:lang w:val="en-AU"/>
        </w:rPr>
        <w:t>to support</w:t>
      </w:r>
      <w:r w:rsidRPr="004562D7">
        <w:rPr>
          <w:lang w:val="en-AU"/>
        </w:rPr>
        <w:t xml:space="preserve"> increased regulation of providers and safeguarding of participants. </w:t>
      </w:r>
    </w:p>
    <w:p w14:paraId="0F88AF2C" w14:textId="6F6EFA8E" w:rsidR="007778D4" w:rsidRDefault="004562D7" w:rsidP="004562D7">
      <w:pPr>
        <w:rPr>
          <w:lang w:val="en-AU"/>
        </w:rPr>
      </w:pPr>
      <w:r w:rsidRPr="004562D7">
        <w:rPr>
          <w:lang w:val="en-AU"/>
        </w:rPr>
        <w:t>When the Government’s response to the NDIS Review arrives, it</w:t>
      </w:r>
      <w:r w:rsidRPr="004562D7" w:rsidDel="00E14FCE">
        <w:rPr>
          <w:lang w:val="en-AU"/>
        </w:rPr>
        <w:t xml:space="preserve"> </w:t>
      </w:r>
      <w:r w:rsidR="00E14FCE">
        <w:rPr>
          <w:lang w:val="en-AU"/>
        </w:rPr>
        <w:t>should</w:t>
      </w:r>
      <w:r w:rsidR="00E14FCE" w:rsidRPr="004562D7">
        <w:rPr>
          <w:lang w:val="en-AU"/>
        </w:rPr>
        <w:t xml:space="preserve"> </w:t>
      </w:r>
      <w:r w:rsidRPr="004562D7">
        <w:rPr>
          <w:lang w:val="en-AU"/>
        </w:rPr>
        <w:t>provide greater clarity about what further reforms the disability community can expect.</w:t>
      </w:r>
    </w:p>
    <w:p w14:paraId="29C4C774" w14:textId="77442261" w:rsidR="00346352" w:rsidRDefault="00346352" w:rsidP="00346352">
      <w:pPr>
        <w:pStyle w:val="NumberedHeading1"/>
        <w:rPr>
          <w:lang w:val="en-AU"/>
        </w:rPr>
      </w:pPr>
      <w:bookmarkStart w:id="6" w:name="_Toc190427203"/>
      <w:r>
        <w:rPr>
          <w:lang w:val="en-AU"/>
        </w:rPr>
        <w:t>Changes to the NDIS Act and Rules</w:t>
      </w:r>
      <w:bookmarkEnd w:id="6"/>
    </w:p>
    <w:p w14:paraId="18985CB9" w14:textId="6BF0E35E" w:rsidR="007D722C" w:rsidRPr="007D722C" w:rsidRDefault="007D722C" w:rsidP="007D722C">
      <w:pPr>
        <w:rPr>
          <w:lang w:val="en-AU"/>
        </w:rPr>
      </w:pPr>
      <w:r w:rsidRPr="007D722C">
        <w:rPr>
          <w:lang w:val="en-AU"/>
        </w:rPr>
        <w:t xml:space="preserve">In 2024, </w:t>
      </w:r>
      <w:r w:rsidR="000F7462">
        <w:rPr>
          <w:lang w:val="en-AU"/>
        </w:rPr>
        <w:t xml:space="preserve">the Government’s initial response to the NDIS </w:t>
      </w:r>
      <w:r w:rsidR="00226A89">
        <w:rPr>
          <w:lang w:val="en-AU"/>
        </w:rPr>
        <w:t>R</w:t>
      </w:r>
      <w:r w:rsidR="000F7462">
        <w:rPr>
          <w:lang w:val="en-AU"/>
        </w:rPr>
        <w:t>eview b</w:t>
      </w:r>
      <w:r w:rsidR="00734259">
        <w:rPr>
          <w:lang w:val="en-AU"/>
        </w:rPr>
        <w:t>r</w:t>
      </w:r>
      <w:r w:rsidR="000F7462">
        <w:rPr>
          <w:lang w:val="en-AU"/>
        </w:rPr>
        <w:t xml:space="preserve">ought </w:t>
      </w:r>
      <w:r w:rsidR="00C16A38">
        <w:rPr>
          <w:lang w:val="en-AU"/>
        </w:rPr>
        <w:t>major</w:t>
      </w:r>
      <w:r w:rsidRPr="007D722C">
        <w:rPr>
          <w:lang w:val="en-AU"/>
        </w:rPr>
        <w:t xml:space="preserve"> changes to the </w:t>
      </w:r>
      <w:r w:rsidRPr="00E301FA">
        <w:rPr>
          <w:i/>
          <w:lang w:val="en-AU"/>
        </w:rPr>
        <w:t>National Disability Insurance Scheme Act 2013</w:t>
      </w:r>
      <w:r w:rsidRPr="007D722C">
        <w:rPr>
          <w:lang w:val="en-AU"/>
        </w:rPr>
        <w:t xml:space="preserve"> (‘NDIS Act’). </w:t>
      </w:r>
    </w:p>
    <w:p w14:paraId="2829F6CE" w14:textId="394BAAC3" w:rsidR="007D722C" w:rsidRPr="007D722C" w:rsidRDefault="007D722C" w:rsidP="007D722C">
      <w:pPr>
        <w:rPr>
          <w:lang w:val="en-AU"/>
        </w:rPr>
      </w:pPr>
      <w:r w:rsidRPr="007D722C">
        <w:rPr>
          <w:lang w:val="en-AU"/>
        </w:rPr>
        <w:t xml:space="preserve">The </w:t>
      </w:r>
      <w:hyperlink r:id="rId12" w:history="1">
        <w:r w:rsidRPr="00890190">
          <w:rPr>
            <w:rStyle w:val="Hyperlink"/>
            <w:lang w:val="en-AU"/>
          </w:rPr>
          <w:t>National Disability Insurance Scheme Amendment (Getting the NDIS Back on Track No. 1) Bill 2024</w:t>
        </w:r>
      </w:hyperlink>
      <w:r w:rsidRPr="007D722C">
        <w:rPr>
          <w:lang w:val="en-AU"/>
        </w:rPr>
        <w:t xml:space="preserve"> (‘the Bill’)</w:t>
      </w:r>
      <w:r w:rsidR="007B690D">
        <w:rPr>
          <w:lang w:val="en-AU"/>
        </w:rPr>
        <w:t xml:space="preserve"> </w:t>
      </w:r>
      <w:r w:rsidR="00811490">
        <w:rPr>
          <w:lang w:val="en-AU"/>
        </w:rPr>
        <w:t>amended the NDIS Act</w:t>
      </w:r>
      <w:r w:rsidR="005E6E2B">
        <w:rPr>
          <w:lang w:val="en-AU"/>
        </w:rPr>
        <w:t>.</w:t>
      </w:r>
      <w:r w:rsidRPr="007D722C">
        <w:rPr>
          <w:lang w:val="en-AU"/>
        </w:rPr>
        <w:t xml:space="preserve"> </w:t>
      </w:r>
      <w:r w:rsidR="005E6E2B">
        <w:rPr>
          <w:lang w:val="en-AU"/>
        </w:rPr>
        <w:t>T</w:t>
      </w:r>
      <w:r w:rsidRPr="007D722C">
        <w:rPr>
          <w:lang w:val="en-AU"/>
        </w:rPr>
        <w:t xml:space="preserve">he new </w:t>
      </w:r>
      <w:hyperlink r:id="rId13" w:history="1">
        <w:r w:rsidRPr="006D4D28">
          <w:rPr>
            <w:rStyle w:val="Hyperlink"/>
            <w:i/>
            <w:iCs/>
            <w:lang w:val="en-AU"/>
          </w:rPr>
          <w:t>National Disability Insurance Scheme (Getting the NDIS Back on Track No. 1) (NDIS Supports) Transitional Rules 2024</w:t>
        </w:r>
      </w:hyperlink>
      <w:r w:rsidRPr="007D722C">
        <w:rPr>
          <w:lang w:val="en-AU"/>
        </w:rPr>
        <w:t xml:space="preserve"> (‘Transitional Supports Rules’)</w:t>
      </w:r>
      <w:r w:rsidR="00FB7F3A">
        <w:rPr>
          <w:lang w:val="en-AU"/>
        </w:rPr>
        <w:t xml:space="preserve"> </w:t>
      </w:r>
      <w:r w:rsidR="008C222E">
        <w:rPr>
          <w:lang w:val="en-AU"/>
        </w:rPr>
        <w:t>lists the</w:t>
      </w:r>
      <w:r w:rsidR="00B851B1">
        <w:rPr>
          <w:lang w:val="en-AU"/>
        </w:rPr>
        <w:t xml:space="preserve"> </w:t>
      </w:r>
      <w:r w:rsidR="00CD7C28">
        <w:rPr>
          <w:lang w:val="en-AU"/>
        </w:rPr>
        <w:t>supports</w:t>
      </w:r>
      <w:r w:rsidR="007F0C72">
        <w:rPr>
          <w:lang w:val="en-AU"/>
        </w:rPr>
        <w:t xml:space="preserve"> the </w:t>
      </w:r>
      <w:r w:rsidR="00CD7C28">
        <w:rPr>
          <w:lang w:val="en-AU"/>
        </w:rPr>
        <w:t xml:space="preserve">NDIS will </w:t>
      </w:r>
      <w:r w:rsidR="008C222E">
        <w:rPr>
          <w:lang w:val="en-AU"/>
        </w:rPr>
        <w:t xml:space="preserve">now </w:t>
      </w:r>
      <w:r w:rsidR="00CD7C28">
        <w:rPr>
          <w:lang w:val="en-AU"/>
        </w:rPr>
        <w:t>fund</w:t>
      </w:r>
      <w:r w:rsidR="00B851B1">
        <w:rPr>
          <w:lang w:val="en-AU"/>
        </w:rPr>
        <w:t>.</w:t>
      </w:r>
      <w:r w:rsidRPr="007D722C">
        <w:rPr>
          <w:lang w:val="en-AU"/>
        </w:rPr>
        <w:t xml:space="preserve"> </w:t>
      </w:r>
      <w:r w:rsidR="000D6BEB">
        <w:rPr>
          <w:lang w:val="en-AU"/>
        </w:rPr>
        <w:t>B</w:t>
      </w:r>
      <w:r w:rsidR="00FE0774">
        <w:rPr>
          <w:lang w:val="en-AU"/>
        </w:rPr>
        <w:t>oth</w:t>
      </w:r>
      <w:r w:rsidR="000D6BEB">
        <w:rPr>
          <w:lang w:val="en-AU"/>
        </w:rPr>
        <w:t xml:space="preserve"> the amendments and </w:t>
      </w:r>
      <w:r w:rsidR="00600A49">
        <w:rPr>
          <w:lang w:val="en-AU"/>
        </w:rPr>
        <w:t xml:space="preserve">Transitional Supports </w:t>
      </w:r>
      <w:r w:rsidR="000D6BEB">
        <w:rPr>
          <w:lang w:val="en-AU"/>
        </w:rPr>
        <w:t>Rules</w:t>
      </w:r>
      <w:r w:rsidR="00FE0774">
        <w:rPr>
          <w:lang w:val="en-AU"/>
        </w:rPr>
        <w:t xml:space="preserve"> </w:t>
      </w:r>
      <w:r w:rsidRPr="007D722C">
        <w:rPr>
          <w:lang w:val="en-AU"/>
        </w:rPr>
        <w:t xml:space="preserve">came into effect </w:t>
      </w:r>
      <w:r w:rsidR="00FE0774">
        <w:rPr>
          <w:lang w:val="en-AU"/>
        </w:rPr>
        <w:t>on</w:t>
      </w:r>
      <w:r w:rsidR="00FE0774" w:rsidRPr="007D722C">
        <w:rPr>
          <w:lang w:val="en-AU"/>
        </w:rPr>
        <w:t xml:space="preserve"> </w:t>
      </w:r>
      <w:r w:rsidRPr="007D722C">
        <w:rPr>
          <w:lang w:val="en-AU"/>
        </w:rPr>
        <w:t xml:space="preserve">3 October 2024. </w:t>
      </w:r>
    </w:p>
    <w:p w14:paraId="6CEE0F41" w14:textId="2085D11C" w:rsidR="007D722C" w:rsidRDefault="007D722C" w:rsidP="007D722C">
      <w:pPr>
        <w:rPr>
          <w:lang w:val="en-AU"/>
        </w:rPr>
      </w:pPr>
      <w:r w:rsidRPr="007D722C">
        <w:rPr>
          <w:lang w:val="en-AU"/>
        </w:rPr>
        <w:t xml:space="preserve">The </w:t>
      </w:r>
      <w:r w:rsidR="00661D5D">
        <w:rPr>
          <w:lang w:val="en-AU"/>
        </w:rPr>
        <w:t xml:space="preserve">major changes </w:t>
      </w:r>
      <w:r w:rsidR="00E343C1">
        <w:rPr>
          <w:lang w:val="en-AU"/>
        </w:rPr>
        <w:t xml:space="preserve">resulting from the </w:t>
      </w:r>
      <w:r w:rsidRPr="007D722C">
        <w:rPr>
          <w:lang w:val="en-AU"/>
        </w:rPr>
        <w:t>Bill</w:t>
      </w:r>
      <w:r w:rsidR="00E343C1">
        <w:rPr>
          <w:lang w:val="en-AU"/>
        </w:rPr>
        <w:t xml:space="preserve"> included</w:t>
      </w:r>
      <w:r w:rsidRPr="007D722C">
        <w:rPr>
          <w:lang w:val="en-AU"/>
        </w:rPr>
        <w:t>:</w:t>
      </w:r>
    </w:p>
    <w:p w14:paraId="03CC2954" w14:textId="3C54111B" w:rsidR="007D722C" w:rsidRDefault="007D722C" w:rsidP="007D722C">
      <w:pPr>
        <w:pStyle w:val="ListParagraph"/>
        <w:numPr>
          <w:ilvl w:val="0"/>
          <w:numId w:val="33"/>
        </w:numPr>
        <w:rPr>
          <w:lang w:val="en-AU"/>
        </w:rPr>
      </w:pPr>
      <w:r w:rsidRPr="006D4D28">
        <w:rPr>
          <w:lang w:val="en-AU"/>
        </w:rPr>
        <w:t xml:space="preserve">how decisions about access to the NDIS are made; </w:t>
      </w:r>
    </w:p>
    <w:p w14:paraId="4A5A209B" w14:textId="4E456A04" w:rsidR="007D722C" w:rsidRDefault="007D722C" w:rsidP="007D722C">
      <w:pPr>
        <w:pStyle w:val="ListParagraph"/>
        <w:numPr>
          <w:ilvl w:val="0"/>
          <w:numId w:val="33"/>
        </w:numPr>
        <w:rPr>
          <w:lang w:val="en-AU"/>
        </w:rPr>
      </w:pPr>
      <w:r w:rsidRPr="006D4D28">
        <w:rPr>
          <w:lang w:val="en-AU"/>
        </w:rPr>
        <w:t xml:space="preserve">how plans are developed and structured; </w:t>
      </w:r>
    </w:p>
    <w:p w14:paraId="7EA1B0C6" w14:textId="2A7F7C06" w:rsidR="007D722C" w:rsidRDefault="007D722C" w:rsidP="007D722C">
      <w:pPr>
        <w:pStyle w:val="ListParagraph"/>
        <w:numPr>
          <w:ilvl w:val="0"/>
          <w:numId w:val="33"/>
        </w:numPr>
        <w:rPr>
          <w:lang w:val="en-AU"/>
        </w:rPr>
      </w:pPr>
      <w:r w:rsidRPr="006D4D28">
        <w:rPr>
          <w:lang w:val="en-AU"/>
        </w:rPr>
        <w:t xml:space="preserve">flexible funding packages; </w:t>
      </w:r>
    </w:p>
    <w:p w14:paraId="1C078D4C" w14:textId="243CFA0E" w:rsidR="007D722C" w:rsidRDefault="007D722C" w:rsidP="007D722C">
      <w:pPr>
        <w:pStyle w:val="ListParagraph"/>
        <w:numPr>
          <w:ilvl w:val="0"/>
          <w:numId w:val="33"/>
        </w:numPr>
        <w:rPr>
          <w:lang w:val="en-AU"/>
        </w:rPr>
      </w:pPr>
      <w:r w:rsidRPr="006D4D28">
        <w:rPr>
          <w:lang w:val="en-AU"/>
        </w:rPr>
        <w:t xml:space="preserve">changes to NDIS supports; </w:t>
      </w:r>
    </w:p>
    <w:p w14:paraId="68C46FB4" w14:textId="44CB8BC4" w:rsidR="007D722C" w:rsidRDefault="007D722C" w:rsidP="007D722C">
      <w:pPr>
        <w:pStyle w:val="ListParagraph"/>
        <w:numPr>
          <w:ilvl w:val="0"/>
          <w:numId w:val="33"/>
        </w:numPr>
        <w:rPr>
          <w:lang w:val="en-AU"/>
        </w:rPr>
      </w:pPr>
      <w:r w:rsidRPr="006D4D28">
        <w:rPr>
          <w:lang w:val="en-AU"/>
        </w:rPr>
        <w:t xml:space="preserve">requirements to consult </w:t>
      </w:r>
      <w:r w:rsidR="00926A11" w:rsidRPr="006D4D28">
        <w:rPr>
          <w:lang w:val="en-AU"/>
        </w:rPr>
        <w:t xml:space="preserve">with the disability community </w:t>
      </w:r>
      <w:r w:rsidR="00B325CB">
        <w:rPr>
          <w:lang w:val="en-AU"/>
        </w:rPr>
        <w:t>about</w:t>
      </w:r>
      <w:r w:rsidR="00B325CB" w:rsidRPr="006D4D28">
        <w:rPr>
          <w:lang w:val="en-AU"/>
        </w:rPr>
        <w:t xml:space="preserve"> </w:t>
      </w:r>
      <w:r w:rsidRPr="006D4D28">
        <w:rPr>
          <w:lang w:val="en-AU"/>
        </w:rPr>
        <w:t xml:space="preserve">new </w:t>
      </w:r>
      <w:r w:rsidR="00926A11">
        <w:rPr>
          <w:lang w:val="en-AU"/>
        </w:rPr>
        <w:t xml:space="preserve">legislative </w:t>
      </w:r>
      <w:r w:rsidRPr="006D4D28">
        <w:rPr>
          <w:lang w:val="en-AU"/>
        </w:rPr>
        <w:t xml:space="preserve">instruments and rules; </w:t>
      </w:r>
    </w:p>
    <w:p w14:paraId="52FE3716" w14:textId="509B515B" w:rsidR="007D722C" w:rsidRDefault="007D722C" w:rsidP="007D722C">
      <w:pPr>
        <w:pStyle w:val="ListParagraph"/>
        <w:numPr>
          <w:ilvl w:val="0"/>
          <w:numId w:val="33"/>
        </w:numPr>
        <w:rPr>
          <w:lang w:val="en-AU"/>
        </w:rPr>
      </w:pPr>
      <w:r w:rsidRPr="006D4D28">
        <w:rPr>
          <w:lang w:val="en-AU"/>
        </w:rPr>
        <w:t xml:space="preserve">new powers granted to the National Disability Insurance Agency (‘NDIA’); and </w:t>
      </w:r>
    </w:p>
    <w:p w14:paraId="7D943A01" w14:textId="1726B75A" w:rsidR="007D722C" w:rsidRPr="006D4D28" w:rsidRDefault="007D722C" w:rsidP="007D722C">
      <w:pPr>
        <w:pStyle w:val="ListParagraph"/>
        <w:numPr>
          <w:ilvl w:val="0"/>
          <w:numId w:val="33"/>
        </w:numPr>
        <w:rPr>
          <w:lang w:val="en-AU"/>
        </w:rPr>
      </w:pPr>
      <w:r w:rsidRPr="006D4D28">
        <w:rPr>
          <w:lang w:val="en-AU"/>
        </w:rPr>
        <w:t>a legislated claims and payments framework.</w:t>
      </w:r>
    </w:p>
    <w:p w14:paraId="55FCA69D" w14:textId="6DD3EE36" w:rsidR="00346352" w:rsidRDefault="007D722C" w:rsidP="007D722C">
      <w:pPr>
        <w:rPr>
          <w:lang w:val="en-AU"/>
        </w:rPr>
      </w:pPr>
      <w:r w:rsidRPr="007D722C">
        <w:rPr>
          <w:lang w:val="en-AU"/>
        </w:rPr>
        <w:t>We discuss each of these changes below.</w:t>
      </w:r>
    </w:p>
    <w:p w14:paraId="5C908A36" w14:textId="1CF06914" w:rsidR="006D4D28" w:rsidRDefault="006D4D28" w:rsidP="006D4D28">
      <w:pPr>
        <w:pStyle w:val="NumberedHeading2"/>
      </w:pPr>
      <w:bookmarkStart w:id="7" w:name="_Toc190427204"/>
      <w:r>
        <w:lastRenderedPageBreak/>
        <w:t xml:space="preserve">Changes to </w:t>
      </w:r>
      <w:r w:rsidR="00DB4265">
        <w:t xml:space="preserve">decision-making about </w:t>
      </w:r>
      <w:r>
        <w:t>NDIS access</w:t>
      </w:r>
      <w:bookmarkEnd w:id="7"/>
      <w:r>
        <w:t xml:space="preserve"> </w:t>
      </w:r>
    </w:p>
    <w:p w14:paraId="32B0CB0E" w14:textId="3C0CDA63" w:rsidR="004F5B7D" w:rsidRPr="004F5B7D" w:rsidRDefault="00EB2322" w:rsidP="004F5B7D">
      <w:pPr>
        <w:rPr>
          <w:lang w:val="en-AU"/>
        </w:rPr>
      </w:pPr>
      <w:r>
        <w:rPr>
          <w:lang w:val="en-AU"/>
        </w:rPr>
        <w:t>Decision</w:t>
      </w:r>
      <w:r w:rsidR="006D22F6">
        <w:rPr>
          <w:lang w:val="en-AU"/>
        </w:rPr>
        <w:t>-making</w:t>
      </w:r>
      <w:r>
        <w:rPr>
          <w:lang w:val="en-AU"/>
        </w:rPr>
        <w:t xml:space="preserve"> about </w:t>
      </w:r>
      <w:r w:rsidR="00FD02B1">
        <w:rPr>
          <w:lang w:val="en-AU"/>
        </w:rPr>
        <w:t xml:space="preserve">access to the NDIS </w:t>
      </w:r>
      <w:r w:rsidR="006D22F6">
        <w:rPr>
          <w:lang w:val="en-AU"/>
        </w:rPr>
        <w:t xml:space="preserve">has changed in </w:t>
      </w:r>
      <w:r w:rsidR="008B0DFB">
        <w:rPr>
          <w:lang w:val="en-AU"/>
        </w:rPr>
        <w:t>two key ways</w:t>
      </w:r>
      <w:r w:rsidR="004F5B7D" w:rsidRPr="004F5B7D">
        <w:rPr>
          <w:lang w:val="en-AU"/>
        </w:rPr>
        <w:t>:</w:t>
      </w:r>
    </w:p>
    <w:p w14:paraId="436AA783" w14:textId="120C6CC0" w:rsidR="004F5B7D" w:rsidRDefault="004F5B7D" w:rsidP="004F5B7D">
      <w:pPr>
        <w:pStyle w:val="ListParagraph"/>
        <w:numPr>
          <w:ilvl w:val="0"/>
          <w:numId w:val="34"/>
        </w:numPr>
        <w:rPr>
          <w:lang w:val="en-AU"/>
        </w:rPr>
      </w:pPr>
      <w:r w:rsidRPr="004F5B7D">
        <w:rPr>
          <w:b/>
          <w:bCs/>
          <w:lang w:val="en-AU"/>
        </w:rPr>
        <w:t>Early intervention and disability pathways</w:t>
      </w:r>
      <w:r w:rsidRPr="004F5B7D">
        <w:rPr>
          <w:lang w:val="en-AU"/>
        </w:rPr>
        <w:t xml:space="preserve">: the NDIS Review recommended the NDIS work differently for people accessing early intervention supports. The </w:t>
      </w:r>
      <w:r w:rsidR="00E43FA2">
        <w:rPr>
          <w:lang w:val="en-AU"/>
        </w:rPr>
        <w:t>amendments</w:t>
      </w:r>
      <w:r w:rsidR="00E43FA2" w:rsidRPr="004F5B7D">
        <w:rPr>
          <w:lang w:val="en-AU"/>
        </w:rPr>
        <w:t xml:space="preserve"> </w:t>
      </w:r>
      <w:r w:rsidR="00BB4B0E">
        <w:rPr>
          <w:lang w:val="en-AU"/>
        </w:rPr>
        <w:t xml:space="preserve">to the NDIS Act </w:t>
      </w:r>
      <w:r w:rsidRPr="004F5B7D">
        <w:rPr>
          <w:lang w:val="en-AU"/>
        </w:rPr>
        <w:t xml:space="preserve">lay the groundwork for </w:t>
      </w:r>
      <w:r w:rsidR="00F12516">
        <w:rPr>
          <w:lang w:val="en-AU"/>
        </w:rPr>
        <w:t xml:space="preserve">creation of </w:t>
      </w:r>
      <w:r w:rsidRPr="004F5B7D">
        <w:rPr>
          <w:lang w:val="en-AU"/>
        </w:rPr>
        <w:t xml:space="preserve">a </w:t>
      </w:r>
      <w:r w:rsidR="005B66EF">
        <w:rPr>
          <w:lang w:val="en-AU"/>
        </w:rPr>
        <w:t xml:space="preserve">separate </w:t>
      </w:r>
      <w:r w:rsidRPr="004F5B7D">
        <w:rPr>
          <w:lang w:val="en-AU"/>
        </w:rPr>
        <w:t xml:space="preserve">early intervention pathway </w:t>
      </w:r>
      <w:r w:rsidR="00FB493E">
        <w:rPr>
          <w:lang w:val="en-AU"/>
        </w:rPr>
        <w:t>into</w:t>
      </w:r>
      <w:r w:rsidR="00F12516">
        <w:rPr>
          <w:lang w:val="en-AU"/>
        </w:rPr>
        <w:t xml:space="preserve"> the NDIS</w:t>
      </w:r>
      <w:r w:rsidR="00F306E5">
        <w:rPr>
          <w:lang w:val="en-AU"/>
        </w:rPr>
        <w:t>.</w:t>
      </w:r>
      <w:r w:rsidR="00A773DA">
        <w:rPr>
          <w:lang w:val="en-AU"/>
        </w:rPr>
        <w:t xml:space="preserve"> </w:t>
      </w:r>
      <w:r w:rsidR="00F306E5">
        <w:rPr>
          <w:lang w:val="en-AU"/>
        </w:rPr>
        <w:t>T</w:t>
      </w:r>
      <w:r w:rsidRPr="004F5B7D">
        <w:rPr>
          <w:lang w:val="en-AU"/>
        </w:rPr>
        <w:t xml:space="preserve">he NDIA </w:t>
      </w:r>
      <w:r w:rsidR="00F306E5">
        <w:rPr>
          <w:lang w:val="en-AU"/>
        </w:rPr>
        <w:t xml:space="preserve">is now required </w:t>
      </w:r>
      <w:r w:rsidRPr="004F5B7D">
        <w:rPr>
          <w:lang w:val="en-AU"/>
        </w:rPr>
        <w:t xml:space="preserve">to assess whether a person meets </w:t>
      </w:r>
      <w:r w:rsidR="0027791C">
        <w:rPr>
          <w:lang w:val="en-AU"/>
        </w:rPr>
        <w:t>NDIS</w:t>
      </w:r>
      <w:r w:rsidR="0027791C" w:rsidRPr="004F5B7D">
        <w:rPr>
          <w:lang w:val="en-AU"/>
        </w:rPr>
        <w:t xml:space="preserve"> </w:t>
      </w:r>
      <w:r w:rsidRPr="004F5B7D">
        <w:rPr>
          <w:lang w:val="en-AU"/>
        </w:rPr>
        <w:t xml:space="preserve">disability requirements, early intervention requirements, or both, and inform the person of </w:t>
      </w:r>
      <w:r w:rsidR="00C55CBA">
        <w:rPr>
          <w:lang w:val="en-AU"/>
        </w:rPr>
        <w:t>its</w:t>
      </w:r>
      <w:r w:rsidR="00C55CBA" w:rsidRPr="004F5B7D">
        <w:rPr>
          <w:lang w:val="en-AU"/>
        </w:rPr>
        <w:t xml:space="preserve"> </w:t>
      </w:r>
      <w:r w:rsidRPr="004F5B7D">
        <w:rPr>
          <w:lang w:val="en-AU"/>
        </w:rPr>
        <w:t xml:space="preserve">decision. New NDIS Rules will specify the methods and criteria to be applied </w:t>
      </w:r>
      <w:r w:rsidR="00F5527A">
        <w:rPr>
          <w:lang w:val="en-AU"/>
        </w:rPr>
        <w:t xml:space="preserve">to the assessment </w:t>
      </w:r>
      <w:r w:rsidRPr="004F5B7D">
        <w:rPr>
          <w:lang w:val="en-AU"/>
        </w:rPr>
        <w:t xml:space="preserve">and matters that must or must not be </w:t>
      </w:r>
      <w:proofErr w:type="gramStart"/>
      <w:r w:rsidRPr="004F5B7D">
        <w:rPr>
          <w:lang w:val="en-AU"/>
        </w:rPr>
        <w:t>taken into account</w:t>
      </w:r>
      <w:proofErr w:type="gramEnd"/>
      <w:r w:rsidRPr="004F5B7D">
        <w:rPr>
          <w:lang w:val="en-AU"/>
        </w:rPr>
        <w:t xml:space="preserve"> when making decisions in relation to the disability or early intervention pathways. </w:t>
      </w:r>
      <w:r w:rsidR="00FB5758">
        <w:rPr>
          <w:lang w:val="en-AU"/>
        </w:rPr>
        <w:t xml:space="preserve">Development of those Rules could </w:t>
      </w:r>
      <w:r w:rsidR="006E008A">
        <w:rPr>
          <w:lang w:val="en-AU"/>
        </w:rPr>
        <w:t>start in 2025</w:t>
      </w:r>
      <w:r w:rsidR="00EF0ADB">
        <w:rPr>
          <w:lang w:val="en-AU"/>
        </w:rPr>
        <w:t>.</w:t>
      </w:r>
    </w:p>
    <w:p w14:paraId="3C078F14" w14:textId="0BD53CD2" w:rsidR="006D4D28" w:rsidRDefault="004F5B7D" w:rsidP="004F5B7D">
      <w:pPr>
        <w:pStyle w:val="ListParagraph"/>
        <w:numPr>
          <w:ilvl w:val="0"/>
          <w:numId w:val="34"/>
        </w:numPr>
        <w:rPr>
          <w:lang w:val="en-AU"/>
        </w:rPr>
      </w:pPr>
      <w:r w:rsidRPr="004F5B7D">
        <w:rPr>
          <w:b/>
          <w:bCs/>
          <w:lang w:val="en-AU"/>
        </w:rPr>
        <w:t>Impairment notices</w:t>
      </w:r>
      <w:r w:rsidRPr="004F5B7D">
        <w:rPr>
          <w:lang w:val="en-AU"/>
        </w:rPr>
        <w:t xml:space="preserve">: From 1 January 2025, all new participants will receive an ‘impairment notice’, informing </w:t>
      </w:r>
      <w:r w:rsidR="001B58CB">
        <w:rPr>
          <w:lang w:val="en-AU"/>
        </w:rPr>
        <w:t xml:space="preserve">them of the </w:t>
      </w:r>
      <w:r w:rsidRPr="004F5B7D">
        <w:rPr>
          <w:lang w:val="en-AU"/>
        </w:rPr>
        <w:t>category</w:t>
      </w:r>
      <w:r w:rsidR="009A7D97">
        <w:rPr>
          <w:lang w:val="en-AU"/>
        </w:rPr>
        <w:t xml:space="preserve"> or categories</w:t>
      </w:r>
      <w:r w:rsidRPr="004F5B7D">
        <w:rPr>
          <w:lang w:val="en-AU"/>
        </w:rPr>
        <w:t xml:space="preserve"> of impairment </w:t>
      </w:r>
      <w:r w:rsidR="009B4F0E">
        <w:rPr>
          <w:lang w:val="en-AU"/>
        </w:rPr>
        <w:t>that</w:t>
      </w:r>
      <w:r w:rsidR="001B58CB">
        <w:rPr>
          <w:lang w:val="en-AU"/>
        </w:rPr>
        <w:t xml:space="preserve"> </w:t>
      </w:r>
      <w:r w:rsidR="00FE6EF0">
        <w:rPr>
          <w:lang w:val="en-AU"/>
        </w:rPr>
        <w:t xml:space="preserve">qualified them for access </w:t>
      </w:r>
      <w:r w:rsidRPr="004F5B7D">
        <w:rPr>
          <w:lang w:val="en-AU"/>
        </w:rPr>
        <w:t>to the NDIS.</w:t>
      </w:r>
      <w:r w:rsidRPr="004F5B7D" w:rsidDel="006D5E70">
        <w:rPr>
          <w:lang w:val="en-AU"/>
        </w:rPr>
        <w:t xml:space="preserve"> </w:t>
      </w:r>
      <w:r w:rsidRPr="004F5B7D">
        <w:rPr>
          <w:lang w:val="en-AU"/>
        </w:rPr>
        <w:t xml:space="preserve">There are six impairment categories: intellectual; cognitive; sensory; neurological; physical; and psychosocial. Participants who disagree with </w:t>
      </w:r>
      <w:r w:rsidR="009B0A4D">
        <w:rPr>
          <w:lang w:val="en-AU"/>
        </w:rPr>
        <w:t xml:space="preserve">the decision </w:t>
      </w:r>
      <w:r w:rsidR="0061617A">
        <w:rPr>
          <w:lang w:val="en-AU"/>
        </w:rPr>
        <w:t>shown in</w:t>
      </w:r>
      <w:r w:rsidR="00A65E6D">
        <w:rPr>
          <w:lang w:val="en-AU"/>
        </w:rPr>
        <w:t xml:space="preserve"> </w:t>
      </w:r>
      <w:r w:rsidRPr="004F5B7D">
        <w:rPr>
          <w:lang w:val="en-AU"/>
        </w:rPr>
        <w:t>their impairment notice can seek internal and external review</w:t>
      </w:r>
      <w:r w:rsidR="0061617A">
        <w:rPr>
          <w:lang w:val="en-AU"/>
        </w:rPr>
        <w:t xml:space="preserve"> of that decision</w:t>
      </w:r>
      <w:r w:rsidRPr="004F5B7D">
        <w:rPr>
          <w:lang w:val="en-AU"/>
        </w:rPr>
        <w:t xml:space="preserve">. We expect existing participants </w:t>
      </w:r>
      <w:r w:rsidR="00946990">
        <w:rPr>
          <w:lang w:val="en-AU"/>
        </w:rPr>
        <w:t>will</w:t>
      </w:r>
      <w:r w:rsidRPr="004F5B7D">
        <w:rPr>
          <w:lang w:val="en-AU"/>
        </w:rPr>
        <w:t xml:space="preserve"> also receive impairment notices – although the process for this has not yet been announced, the rollout will likely be integrated with plan </w:t>
      </w:r>
      <w:r w:rsidR="009A5C39">
        <w:rPr>
          <w:lang w:val="en-AU"/>
        </w:rPr>
        <w:t>reassessments</w:t>
      </w:r>
      <w:r w:rsidRPr="004F5B7D">
        <w:rPr>
          <w:lang w:val="en-AU"/>
        </w:rPr>
        <w:t>.</w:t>
      </w:r>
    </w:p>
    <w:p w14:paraId="32063E98" w14:textId="7763F0E7" w:rsidR="004F5B7D" w:rsidRDefault="004F5B7D" w:rsidP="004F5B7D">
      <w:pPr>
        <w:pStyle w:val="NumberedHeading2"/>
      </w:pPr>
      <w:bookmarkStart w:id="8" w:name="_Toc190427205"/>
      <w:r>
        <w:t>Changes to plans and planning</w:t>
      </w:r>
      <w:bookmarkEnd w:id="8"/>
    </w:p>
    <w:p w14:paraId="399C08F9" w14:textId="51BDE39A" w:rsidR="007A3E0F" w:rsidRDefault="000D424D" w:rsidP="004F5B7D">
      <w:pPr>
        <w:rPr>
          <w:lang w:val="en-AU"/>
        </w:rPr>
      </w:pPr>
      <w:r w:rsidRPr="000D424D">
        <w:rPr>
          <w:lang w:val="en-AU"/>
        </w:rPr>
        <w:t>‘</w:t>
      </w:r>
      <w:r w:rsidR="00425031">
        <w:rPr>
          <w:lang w:val="en-AU"/>
        </w:rPr>
        <w:t>N</w:t>
      </w:r>
      <w:r w:rsidRPr="000D424D">
        <w:rPr>
          <w:lang w:val="en-AU"/>
        </w:rPr>
        <w:t>ew framework</w:t>
      </w:r>
      <w:r w:rsidR="00425031">
        <w:rPr>
          <w:lang w:val="en-AU"/>
        </w:rPr>
        <w:t>’</w:t>
      </w:r>
      <w:r w:rsidRPr="000D424D">
        <w:rPr>
          <w:lang w:val="en-AU"/>
        </w:rPr>
        <w:t xml:space="preserve"> plans</w:t>
      </w:r>
      <w:r w:rsidR="003E3C7C">
        <w:rPr>
          <w:lang w:val="en-AU"/>
        </w:rPr>
        <w:t xml:space="preserve"> are replacing</w:t>
      </w:r>
      <w:r w:rsidR="00D16EE6">
        <w:rPr>
          <w:lang w:val="en-AU"/>
        </w:rPr>
        <w:t xml:space="preserve"> </w:t>
      </w:r>
      <w:r w:rsidR="006A6D21">
        <w:rPr>
          <w:lang w:val="en-AU"/>
        </w:rPr>
        <w:t>existing plans</w:t>
      </w:r>
      <w:r w:rsidR="00D831D2">
        <w:rPr>
          <w:lang w:val="en-AU"/>
        </w:rPr>
        <w:t xml:space="preserve"> (now known as ‘old framework’ plans)</w:t>
      </w:r>
      <w:r w:rsidR="00BB3B1F">
        <w:rPr>
          <w:lang w:val="en-AU"/>
        </w:rPr>
        <w:t>.</w:t>
      </w:r>
      <w:r w:rsidR="00C72A93">
        <w:rPr>
          <w:lang w:val="en-AU"/>
        </w:rPr>
        <w:t xml:space="preserve"> </w:t>
      </w:r>
      <w:r w:rsidR="009C304B">
        <w:rPr>
          <w:lang w:val="en-AU"/>
        </w:rPr>
        <w:t>A</w:t>
      </w:r>
      <w:r w:rsidRPr="000D424D">
        <w:rPr>
          <w:lang w:val="en-AU"/>
        </w:rPr>
        <w:t xml:space="preserve">ll participants will </w:t>
      </w:r>
      <w:r w:rsidR="009C304B">
        <w:rPr>
          <w:lang w:val="en-AU"/>
        </w:rPr>
        <w:t>be transitioned</w:t>
      </w:r>
      <w:r w:rsidR="00C72A93">
        <w:rPr>
          <w:lang w:val="en-AU"/>
        </w:rPr>
        <w:t xml:space="preserve"> </w:t>
      </w:r>
      <w:r w:rsidRPr="000D424D">
        <w:rPr>
          <w:lang w:val="en-AU"/>
        </w:rPr>
        <w:t xml:space="preserve">to </w:t>
      </w:r>
      <w:r w:rsidR="009C304B">
        <w:rPr>
          <w:lang w:val="en-AU"/>
        </w:rPr>
        <w:t xml:space="preserve">a </w:t>
      </w:r>
      <w:r w:rsidRPr="000D424D">
        <w:rPr>
          <w:lang w:val="en-AU"/>
        </w:rPr>
        <w:t>new framework plan</w:t>
      </w:r>
      <w:r w:rsidR="00FE3453">
        <w:rPr>
          <w:lang w:val="en-AU"/>
        </w:rPr>
        <w:t>,</w:t>
      </w:r>
      <w:r w:rsidRPr="000D424D">
        <w:rPr>
          <w:lang w:val="en-AU"/>
        </w:rPr>
        <w:t xml:space="preserve"> </w:t>
      </w:r>
      <w:r w:rsidR="0016574F">
        <w:rPr>
          <w:lang w:val="en-AU"/>
        </w:rPr>
        <w:t xml:space="preserve">which </w:t>
      </w:r>
      <w:r w:rsidRPr="000D424D">
        <w:rPr>
          <w:lang w:val="en-AU"/>
        </w:rPr>
        <w:t xml:space="preserve">is </w:t>
      </w:r>
      <w:r w:rsidR="00C72A93">
        <w:rPr>
          <w:lang w:val="en-AU"/>
        </w:rPr>
        <w:t>expected</w:t>
      </w:r>
      <w:r w:rsidR="00C72A93" w:rsidRPr="000D424D">
        <w:rPr>
          <w:lang w:val="en-AU"/>
        </w:rPr>
        <w:t xml:space="preserve"> </w:t>
      </w:r>
      <w:r w:rsidRPr="000D424D">
        <w:rPr>
          <w:lang w:val="en-AU"/>
        </w:rPr>
        <w:t xml:space="preserve">to take up to five years. New framework plans will use a ‘needs assessment’ to determine the supports a participant needs, which will in turn be used to </w:t>
      </w:r>
      <w:r w:rsidR="004B65D6">
        <w:rPr>
          <w:lang w:val="en-AU"/>
        </w:rPr>
        <w:t xml:space="preserve">set a </w:t>
      </w:r>
      <w:r w:rsidR="0022289C">
        <w:rPr>
          <w:lang w:val="en-AU"/>
        </w:rPr>
        <w:t xml:space="preserve">more flexible </w:t>
      </w:r>
      <w:r w:rsidR="004B65D6">
        <w:rPr>
          <w:lang w:val="en-AU"/>
        </w:rPr>
        <w:t xml:space="preserve">‘total </w:t>
      </w:r>
      <w:r w:rsidRPr="000D424D">
        <w:rPr>
          <w:lang w:val="en-AU"/>
        </w:rPr>
        <w:t xml:space="preserve">budget </w:t>
      </w:r>
      <w:r w:rsidR="004B65D6">
        <w:rPr>
          <w:lang w:val="en-AU"/>
        </w:rPr>
        <w:t xml:space="preserve">amount’ </w:t>
      </w:r>
      <w:r w:rsidRPr="000D424D">
        <w:rPr>
          <w:lang w:val="en-AU"/>
        </w:rPr>
        <w:t xml:space="preserve">for </w:t>
      </w:r>
      <w:r w:rsidR="004B65D6">
        <w:rPr>
          <w:lang w:val="en-AU"/>
        </w:rPr>
        <w:t>the</w:t>
      </w:r>
      <w:r w:rsidR="004B65D6" w:rsidRPr="000D424D">
        <w:rPr>
          <w:lang w:val="en-AU"/>
        </w:rPr>
        <w:t xml:space="preserve"> </w:t>
      </w:r>
      <w:r w:rsidRPr="000D424D">
        <w:rPr>
          <w:lang w:val="en-AU"/>
        </w:rPr>
        <w:t xml:space="preserve">participant. </w:t>
      </w:r>
    </w:p>
    <w:p w14:paraId="1D4CFBA0" w14:textId="0A3A544F" w:rsidR="007A3E0F" w:rsidRDefault="000D424D" w:rsidP="004F5B7D">
      <w:pPr>
        <w:rPr>
          <w:lang w:val="en-AU"/>
        </w:rPr>
      </w:pPr>
      <w:r w:rsidRPr="000D424D">
        <w:rPr>
          <w:lang w:val="en-AU"/>
        </w:rPr>
        <w:t xml:space="preserve">The needs assessment and budget are to </w:t>
      </w:r>
      <w:proofErr w:type="gramStart"/>
      <w:r w:rsidRPr="000D424D">
        <w:rPr>
          <w:lang w:val="en-AU"/>
        </w:rPr>
        <w:t>take into account</w:t>
      </w:r>
      <w:proofErr w:type="gramEnd"/>
      <w:r w:rsidRPr="000D424D">
        <w:rPr>
          <w:lang w:val="en-AU"/>
        </w:rPr>
        <w:t xml:space="preserve"> a participant’s support needs ‘arising from’ an impairment that meets the disability or early intervention requirements, but which might also be affected by their other impairments or life circumstances. </w:t>
      </w:r>
      <w:r w:rsidR="00D31BFF">
        <w:rPr>
          <w:lang w:val="en-AU"/>
        </w:rPr>
        <w:t xml:space="preserve">This is intended to </w:t>
      </w:r>
      <w:r w:rsidR="0008477A">
        <w:rPr>
          <w:lang w:val="en-AU"/>
        </w:rPr>
        <w:t xml:space="preserve">allow for </w:t>
      </w:r>
      <w:r w:rsidR="00D31BFF">
        <w:rPr>
          <w:lang w:val="en-AU"/>
        </w:rPr>
        <w:t xml:space="preserve">a </w:t>
      </w:r>
      <w:r w:rsidR="00D31BFF" w:rsidRPr="000D424D">
        <w:rPr>
          <w:lang w:val="en-AU"/>
        </w:rPr>
        <w:t xml:space="preserve">‘whole of person’ approach </w:t>
      </w:r>
      <w:r w:rsidR="00D31BFF">
        <w:rPr>
          <w:lang w:val="en-AU"/>
        </w:rPr>
        <w:t xml:space="preserve">to </w:t>
      </w:r>
      <w:r w:rsidR="00DA5434">
        <w:rPr>
          <w:lang w:val="en-AU"/>
        </w:rPr>
        <w:t xml:space="preserve">the </w:t>
      </w:r>
      <w:r w:rsidR="00D31BFF">
        <w:rPr>
          <w:lang w:val="en-AU"/>
        </w:rPr>
        <w:t>needs assessment</w:t>
      </w:r>
      <w:r w:rsidR="00EC2627">
        <w:rPr>
          <w:lang w:val="en-AU"/>
        </w:rPr>
        <w:t>,</w:t>
      </w:r>
      <w:r w:rsidR="00F82BFB">
        <w:rPr>
          <w:lang w:val="en-AU"/>
        </w:rPr>
        <w:t xml:space="preserve"> while still linking supports to eligibility for the Scheme.</w:t>
      </w:r>
      <w:r w:rsidR="00D31BFF" w:rsidRPr="000D424D">
        <w:rPr>
          <w:lang w:val="en-AU"/>
        </w:rPr>
        <w:t xml:space="preserve"> </w:t>
      </w:r>
    </w:p>
    <w:p w14:paraId="1E885A54" w14:textId="1868A13D" w:rsidR="004F5B7D" w:rsidRDefault="00D41C9A" w:rsidP="004F5B7D">
      <w:pPr>
        <w:rPr>
          <w:lang w:val="en-AU"/>
        </w:rPr>
      </w:pPr>
      <w:r>
        <w:rPr>
          <w:lang w:val="en-AU"/>
        </w:rPr>
        <w:t>T</w:t>
      </w:r>
      <w:r w:rsidR="000D424D" w:rsidRPr="000D424D">
        <w:rPr>
          <w:lang w:val="en-AU"/>
        </w:rPr>
        <w:t xml:space="preserve">he NDIA </w:t>
      </w:r>
      <w:r>
        <w:rPr>
          <w:lang w:val="en-AU"/>
        </w:rPr>
        <w:t xml:space="preserve">is required </w:t>
      </w:r>
      <w:r w:rsidR="000D424D" w:rsidRPr="000D424D">
        <w:rPr>
          <w:lang w:val="en-AU"/>
        </w:rPr>
        <w:t xml:space="preserve">to give participants a copy of their needs assessment report. Participants will be able to </w:t>
      </w:r>
      <w:r w:rsidR="00021EA9">
        <w:rPr>
          <w:lang w:val="en-AU"/>
        </w:rPr>
        <w:t>request</w:t>
      </w:r>
      <w:r w:rsidR="00021EA9" w:rsidRPr="000D424D">
        <w:rPr>
          <w:lang w:val="en-AU"/>
        </w:rPr>
        <w:t xml:space="preserve"> </w:t>
      </w:r>
      <w:r w:rsidR="000D424D" w:rsidRPr="000D424D">
        <w:rPr>
          <w:lang w:val="en-AU"/>
        </w:rPr>
        <w:t>a replacement assessment</w:t>
      </w:r>
      <w:r w:rsidR="00737B5B">
        <w:rPr>
          <w:lang w:val="en-AU"/>
        </w:rPr>
        <w:t xml:space="preserve">, for example if they disagree with the original assessment, </w:t>
      </w:r>
      <w:r w:rsidR="00E130D8">
        <w:rPr>
          <w:lang w:val="en-AU"/>
        </w:rPr>
        <w:t>and will be reassessed</w:t>
      </w:r>
      <w:r w:rsidR="000D424D" w:rsidRPr="000D424D">
        <w:rPr>
          <w:lang w:val="en-AU"/>
        </w:rPr>
        <w:t xml:space="preserve"> if the NDIA (or a reviewer) thinks it is appropriate. The NDIA has said the needs assessment process will be co-designed with the disability community</w:t>
      </w:r>
      <w:r w:rsidR="00AB1DF0">
        <w:rPr>
          <w:lang w:val="en-AU"/>
        </w:rPr>
        <w:t>. W</w:t>
      </w:r>
      <w:r w:rsidR="002E3A22">
        <w:rPr>
          <w:lang w:val="en-AU"/>
        </w:rPr>
        <w:t xml:space="preserve">ork on this co-design process </w:t>
      </w:r>
      <w:r w:rsidR="00ED1D06">
        <w:rPr>
          <w:lang w:val="en-AU"/>
        </w:rPr>
        <w:t xml:space="preserve">is expected to start </w:t>
      </w:r>
      <w:r w:rsidR="002E3A22">
        <w:rPr>
          <w:lang w:val="en-AU"/>
        </w:rPr>
        <w:t>in 2025</w:t>
      </w:r>
      <w:r w:rsidR="000D424D" w:rsidRPr="000D424D">
        <w:rPr>
          <w:lang w:val="en-AU"/>
        </w:rPr>
        <w:t>.</w:t>
      </w:r>
    </w:p>
    <w:p w14:paraId="457A4449" w14:textId="6E8A68A2" w:rsidR="000D424D" w:rsidRDefault="000D424D" w:rsidP="000D424D">
      <w:pPr>
        <w:pStyle w:val="NumberedHeading2"/>
      </w:pPr>
      <w:bookmarkStart w:id="9" w:name="_Toc190427206"/>
      <w:r>
        <w:t>Flexible funding packages</w:t>
      </w:r>
      <w:bookmarkEnd w:id="9"/>
    </w:p>
    <w:p w14:paraId="403C5CA1" w14:textId="5341CAB2" w:rsidR="004D3108" w:rsidRPr="004D3108" w:rsidRDefault="004D3108" w:rsidP="004D3108">
      <w:pPr>
        <w:rPr>
          <w:lang w:val="en-AU"/>
        </w:rPr>
      </w:pPr>
      <w:r w:rsidRPr="004D3108">
        <w:rPr>
          <w:lang w:val="en-AU"/>
        </w:rPr>
        <w:t xml:space="preserve">The NDIS Review recommended a participant’s </w:t>
      </w:r>
      <w:r w:rsidR="00B91E13">
        <w:rPr>
          <w:lang w:val="en-AU"/>
        </w:rPr>
        <w:t>budget for supports</w:t>
      </w:r>
      <w:r w:rsidR="00B91E13" w:rsidRPr="004D3108">
        <w:rPr>
          <w:lang w:val="en-AU"/>
        </w:rPr>
        <w:t xml:space="preserve"> </w:t>
      </w:r>
      <w:r w:rsidRPr="004D3108">
        <w:rPr>
          <w:lang w:val="en-AU"/>
        </w:rPr>
        <w:t xml:space="preserve">be assessed and set at a whole-of-person level, rather than </w:t>
      </w:r>
      <w:r w:rsidR="002B10B8">
        <w:rPr>
          <w:lang w:val="en-AU"/>
        </w:rPr>
        <w:t>defining amounts for</w:t>
      </w:r>
      <w:r w:rsidRPr="004D3108">
        <w:rPr>
          <w:lang w:val="en-AU"/>
        </w:rPr>
        <w:t xml:space="preserve"> individual support items. When new framework plans are introduced, a participant’s budget will include flexible funding, stated supports </w:t>
      </w:r>
      <w:r w:rsidR="0090438E">
        <w:rPr>
          <w:lang w:val="en-AU"/>
        </w:rPr>
        <w:t xml:space="preserve">funding </w:t>
      </w:r>
      <w:r w:rsidRPr="004D3108">
        <w:rPr>
          <w:lang w:val="en-AU"/>
        </w:rPr>
        <w:t>or both.</w:t>
      </w:r>
    </w:p>
    <w:p w14:paraId="66BA6221" w14:textId="4803048D" w:rsidR="004D3108" w:rsidRDefault="004D3108" w:rsidP="004D3108">
      <w:pPr>
        <w:pStyle w:val="ListParagraph"/>
        <w:numPr>
          <w:ilvl w:val="0"/>
          <w:numId w:val="35"/>
        </w:numPr>
        <w:rPr>
          <w:lang w:val="en-AU"/>
        </w:rPr>
      </w:pPr>
      <w:r w:rsidRPr="004D3108">
        <w:rPr>
          <w:b/>
          <w:bCs/>
          <w:lang w:val="en-AU"/>
        </w:rPr>
        <w:t>Flexible funding</w:t>
      </w:r>
      <w:r w:rsidRPr="004D3108">
        <w:rPr>
          <w:lang w:val="en-AU"/>
        </w:rPr>
        <w:t xml:space="preserve"> </w:t>
      </w:r>
      <w:r w:rsidR="00F36297">
        <w:rPr>
          <w:lang w:val="en-AU"/>
        </w:rPr>
        <w:t>can be spent</w:t>
      </w:r>
      <w:r w:rsidRPr="004D3108">
        <w:rPr>
          <w:lang w:val="en-AU"/>
        </w:rPr>
        <w:t xml:space="preserve"> flexibly </w:t>
      </w:r>
      <w:r w:rsidR="00F36297">
        <w:rPr>
          <w:lang w:val="en-AU"/>
        </w:rPr>
        <w:t xml:space="preserve">by the participant </w:t>
      </w:r>
      <w:r w:rsidRPr="004D3108">
        <w:rPr>
          <w:lang w:val="en-AU"/>
        </w:rPr>
        <w:t xml:space="preserve">on any items that meet the definition of NDIS supports (see below at </w:t>
      </w:r>
      <w:r w:rsidR="004E75F9">
        <w:rPr>
          <w:lang w:val="en-AU"/>
        </w:rPr>
        <w:t xml:space="preserve">sections </w:t>
      </w:r>
      <w:r w:rsidR="00D260A3" w:rsidRPr="00D260A3">
        <w:rPr>
          <w:lang w:val="en-AU"/>
        </w:rPr>
        <w:t>2</w:t>
      </w:r>
      <w:r w:rsidRPr="00D260A3">
        <w:rPr>
          <w:lang w:val="en-AU"/>
        </w:rPr>
        <w:t xml:space="preserve">.4 </w:t>
      </w:r>
      <w:r w:rsidRPr="008C0DF3">
        <w:rPr>
          <w:lang w:val="en-AU"/>
        </w:rPr>
        <w:t xml:space="preserve">and </w:t>
      </w:r>
      <w:r w:rsidR="008C0DF3" w:rsidRPr="008C0DF3">
        <w:rPr>
          <w:lang w:val="en-AU"/>
        </w:rPr>
        <w:t>4</w:t>
      </w:r>
      <w:r w:rsidR="00D260A3">
        <w:rPr>
          <w:lang w:val="en-AU"/>
        </w:rPr>
        <w:t>)</w:t>
      </w:r>
      <w:r w:rsidRPr="004D3108">
        <w:rPr>
          <w:lang w:val="en-AU"/>
        </w:rPr>
        <w:t xml:space="preserve">. However, in some </w:t>
      </w:r>
      <w:r w:rsidRPr="004D3108">
        <w:rPr>
          <w:lang w:val="en-AU"/>
        </w:rPr>
        <w:lastRenderedPageBreak/>
        <w:t>circumstances, the NDIA may be able to restrict a person’s spending</w:t>
      </w:r>
      <w:r w:rsidR="00A66E19">
        <w:rPr>
          <w:lang w:val="en-AU"/>
        </w:rPr>
        <w:t xml:space="preserve"> </w:t>
      </w:r>
      <w:r w:rsidR="006C3B8C">
        <w:rPr>
          <w:lang w:val="en-AU"/>
        </w:rPr>
        <w:t xml:space="preserve">to specified </w:t>
      </w:r>
      <w:r w:rsidR="000006DF">
        <w:rPr>
          <w:lang w:val="en-AU"/>
        </w:rPr>
        <w:t>supports</w:t>
      </w:r>
      <w:r w:rsidRPr="004D3108">
        <w:rPr>
          <w:lang w:val="en-AU"/>
        </w:rPr>
        <w:t xml:space="preserve">. </w:t>
      </w:r>
    </w:p>
    <w:p w14:paraId="17537D6F" w14:textId="384D19C3" w:rsidR="004D3108" w:rsidRPr="004D3108" w:rsidRDefault="004D3108" w:rsidP="004D3108">
      <w:pPr>
        <w:pStyle w:val="ListParagraph"/>
        <w:numPr>
          <w:ilvl w:val="0"/>
          <w:numId w:val="35"/>
        </w:numPr>
        <w:rPr>
          <w:lang w:val="en-AU"/>
        </w:rPr>
      </w:pPr>
      <w:r w:rsidRPr="004D3108">
        <w:rPr>
          <w:b/>
          <w:bCs/>
          <w:lang w:val="en-AU"/>
        </w:rPr>
        <w:t>Stated supports</w:t>
      </w:r>
      <w:r w:rsidRPr="004D3108">
        <w:rPr>
          <w:lang w:val="en-AU"/>
        </w:rPr>
        <w:t xml:space="preserve"> are high-value supports for which a certain amount of money is set aside in a participant’s budget. New NDIS Rules will </w:t>
      </w:r>
      <w:r w:rsidR="00A44F8E">
        <w:rPr>
          <w:lang w:val="en-AU"/>
        </w:rPr>
        <w:t>list</w:t>
      </w:r>
      <w:r w:rsidR="00A44F8E" w:rsidRPr="004D3108">
        <w:rPr>
          <w:lang w:val="en-AU"/>
        </w:rPr>
        <w:t xml:space="preserve"> </w:t>
      </w:r>
      <w:r w:rsidRPr="004D3108">
        <w:rPr>
          <w:lang w:val="en-AU"/>
        </w:rPr>
        <w:t xml:space="preserve">the types of supports that can be stated supports. </w:t>
      </w:r>
    </w:p>
    <w:p w14:paraId="120D3875" w14:textId="226D2A57" w:rsidR="000D424D" w:rsidRDefault="006E5F7E" w:rsidP="004D3108">
      <w:pPr>
        <w:rPr>
          <w:lang w:val="en-AU"/>
        </w:rPr>
      </w:pPr>
      <w:r>
        <w:rPr>
          <w:lang w:val="en-AU"/>
        </w:rPr>
        <w:t xml:space="preserve">Funding will now be provided in </w:t>
      </w:r>
      <w:r w:rsidR="00D77BB6">
        <w:rPr>
          <w:lang w:val="en-AU"/>
        </w:rPr>
        <w:t xml:space="preserve">staged </w:t>
      </w:r>
      <w:r w:rsidR="004D3108" w:rsidRPr="004D3108">
        <w:rPr>
          <w:lang w:val="en-AU"/>
        </w:rPr>
        <w:t xml:space="preserve">‘funding periods’ across the </w:t>
      </w:r>
      <w:r w:rsidR="00D77BB6">
        <w:rPr>
          <w:lang w:val="en-AU"/>
        </w:rPr>
        <w:t xml:space="preserve">timeframe of the </w:t>
      </w:r>
      <w:r w:rsidR="004D3108" w:rsidRPr="004D3108">
        <w:rPr>
          <w:lang w:val="en-AU"/>
        </w:rPr>
        <w:t xml:space="preserve">plan. Government has explained these periods are intended to prevent participants from overspending their </w:t>
      </w:r>
      <w:r w:rsidR="00341AA2">
        <w:rPr>
          <w:lang w:val="en-AU"/>
        </w:rPr>
        <w:t>budgets</w:t>
      </w:r>
      <w:r w:rsidR="004D3108" w:rsidRPr="004D3108">
        <w:rPr>
          <w:lang w:val="en-AU"/>
        </w:rPr>
        <w:t>, and to constrain the overall spending growth of the NDIS.</w:t>
      </w:r>
    </w:p>
    <w:p w14:paraId="53E91A16" w14:textId="28C79AEC" w:rsidR="00D260A3" w:rsidRDefault="00D260A3" w:rsidP="00D260A3">
      <w:pPr>
        <w:pStyle w:val="NumberedHeading2"/>
      </w:pPr>
      <w:bookmarkStart w:id="10" w:name="_Toc190427207"/>
      <w:r>
        <w:t>NDIS supports list</w:t>
      </w:r>
      <w:bookmarkEnd w:id="10"/>
      <w:r>
        <w:t xml:space="preserve"> </w:t>
      </w:r>
    </w:p>
    <w:p w14:paraId="7F214DBC" w14:textId="77777777" w:rsidR="002261D8" w:rsidRDefault="004E75F9" w:rsidP="00D260A3">
      <w:pPr>
        <w:rPr>
          <w:lang w:val="en-AU"/>
        </w:rPr>
      </w:pPr>
      <w:r w:rsidRPr="004E75F9">
        <w:rPr>
          <w:lang w:val="en-AU"/>
        </w:rPr>
        <w:t xml:space="preserve">The introduction of lists of NDIS supports represents a significant change in the Government’s approach to </w:t>
      </w:r>
      <w:r w:rsidR="00B708DD">
        <w:rPr>
          <w:lang w:val="en-AU"/>
        </w:rPr>
        <w:t>which</w:t>
      </w:r>
      <w:r w:rsidRPr="004E75F9">
        <w:rPr>
          <w:lang w:val="en-AU"/>
        </w:rPr>
        <w:t xml:space="preserve"> supports the Scheme will fund. While flexible funding packages are said to give participants more freedom in how they spend their budget, NDIS funds can now only be spent on supports </w:t>
      </w:r>
      <w:r w:rsidR="00D977A5">
        <w:rPr>
          <w:lang w:val="en-AU"/>
        </w:rPr>
        <w:t>included i</w:t>
      </w:r>
      <w:r w:rsidRPr="004E75F9">
        <w:rPr>
          <w:lang w:val="en-AU"/>
        </w:rPr>
        <w:t>n a list of NDIS supports</w:t>
      </w:r>
      <w:r w:rsidR="002340C2">
        <w:rPr>
          <w:lang w:val="en-AU"/>
        </w:rPr>
        <w:t xml:space="preserve"> that </w:t>
      </w:r>
      <w:r w:rsidR="007376FE">
        <w:rPr>
          <w:lang w:val="en-AU"/>
        </w:rPr>
        <w:t xml:space="preserve">Government </w:t>
      </w:r>
      <w:r w:rsidRPr="004E75F9">
        <w:rPr>
          <w:lang w:val="en-AU"/>
        </w:rPr>
        <w:t xml:space="preserve">considers </w:t>
      </w:r>
      <w:r w:rsidR="00233B6B">
        <w:rPr>
          <w:lang w:val="en-AU"/>
        </w:rPr>
        <w:t>are</w:t>
      </w:r>
      <w:r w:rsidRPr="004E75F9">
        <w:rPr>
          <w:lang w:val="en-AU"/>
        </w:rPr>
        <w:t xml:space="preserve"> appropriate for the NDIS to fund. </w:t>
      </w:r>
      <w:r w:rsidR="00A10885">
        <w:rPr>
          <w:lang w:val="en-AU"/>
        </w:rPr>
        <w:t xml:space="preserve">NDIS funds cannot be spent </w:t>
      </w:r>
      <w:r w:rsidR="003F692D">
        <w:rPr>
          <w:lang w:val="en-AU"/>
        </w:rPr>
        <w:t xml:space="preserve">on anything Government has specifically listed as </w:t>
      </w:r>
      <w:r w:rsidR="00E66C19" w:rsidRPr="00E66C19">
        <w:rPr>
          <w:lang w:val="en-AU"/>
        </w:rPr>
        <w:t xml:space="preserve">not </w:t>
      </w:r>
      <w:r w:rsidR="00431618">
        <w:rPr>
          <w:lang w:val="en-AU"/>
        </w:rPr>
        <w:t xml:space="preserve">an </w:t>
      </w:r>
      <w:r w:rsidR="00E66C19" w:rsidRPr="00E66C19">
        <w:rPr>
          <w:lang w:val="en-AU"/>
        </w:rPr>
        <w:t>NDIS support</w:t>
      </w:r>
      <w:r w:rsidR="003F692D">
        <w:rPr>
          <w:lang w:val="en-AU"/>
        </w:rPr>
        <w:t xml:space="preserve">. </w:t>
      </w:r>
    </w:p>
    <w:p w14:paraId="6B297ED9" w14:textId="5126D9EC" w:rsidR="00D260A3" w:rsidRDefault="00D97EDA" w:rsidP="00D260A3">
      <w:pPr>
        <w:rPr>
          <w:lang w:val="en-AU"/>
        </w:rPr>
      </w:pPr>
      <w:r>
        <w:rPr>
          <w:lang w:val="en-AU"/>
        </w:rPr>
        <w:t xml:space="preserve">Interim lists </w:t>
      </w:r>
      <w:r w:rsidR="00E76DDE">
        <w:rPr>
          <w:lang w:val="en-AU"/>
        </w:rPr>
        <w:t xml:space="preserve">were released in </w:t>
      </w:r>
      <w:r w:rsidR="00C830CF">
        <w:rPr>
          <w:lang w:val="en-AU"/>
        </w:rPr>
        <w:t>October 2024</w:t>
      </w:r>
      <w:r w:rsidR="00987936">
        <w:rPr>
          <w:lang w:val="en-AU"/>
        </w:rPr>
        <w:t xml:space="preserve"> and will apply until they are </w:t>
      </w:r>
      <w:r w:rsidR="004E75F9" w:rsidRPr="004E75F9">
        <w:rPr>
          <w:lang w:val="en-AU"/>
        </w:rPr>
        <w:t xml:space="preserve">replaced later this year by permanent lists negotiated between the </w:t>
      </w:r>
      <w:r w:rsidR="002D0493">
        <w:rPr>
          <w:lang w:val="en-AU"/>
        </w:rPr>
        <w:t>Commonwealth</w:t>
      </w:r>
      <w:r w:rsidR="004E75F9" w:rsidRPr="004E75F9">
        <w:rPr>
          <w:lang w:val="en-AU"/>
        </w:rPr>
        <w:t xml:space="preserve">, State and Territory Governments. We’ve included more detail on what is and is not included in the interim supports lists below in </w:t>
      </w:r>
      <w:r w:rsidR="004E75F9" w:rsidRPr="008C0DF3">
        <w:rPr>
          <w:lang w:val="en-AU"/>
        </w:rPr>
        <w:t xml:space="preserve">section </w:t>
      </w:r>
      <w:r w:rsidR="008C0DF3" w:rsidRPr="008C0DF3">
        <w:rPr>
          <w:lang w:val="en-AU"/>
        </w:rPr>
        <w:t>4</w:t>
      </w:r>
      <w:r w:rsidR="004E75F9" w:rsidRPr="008C0DF3">
        <w:rPr>
          <w:lang w:val="en-AU"/>
        </w:rPr>
        <w:t>.</w:t>
      </w:r>
    </w:p>
    <w:p w14:paraId="2B376B10" w14:textId="4624BA7B" w:rsidR="004E75F9" w:rsidRDefault="004E75F9" w:rsidP="004E75F9">
      <w:pPr>
        <w:pStyle w:val="NumberedHeading2"/>
      </w:pPr>
      <w:bookmarkStart w:id="11" w:name="_Toc190427208"/>
      <w:r>
        <w:t>Other reforms</w:t>
      </w:r>
      <w:bookmarkEnd w:id="11"/>
    </w:p>
    <w:p w14:paraId="730E3E8F" w14:textId="022FD54A" w:rsidR="00232E34" w:rsidRDefault="00232E34" w:rsidP="00232E34">
      <w:pPr>
        <w:pStyle w:val="ListParagraph"/>
        <w:numPr>
          <w:ilvl w:val="0"/>
          <w:numId w:val="36"/>
        </w:numPr>
        <w:rPr>
          <w:lang w:val="en-AU"/>
        </w:rPr>
      </w:pPr>
      <w:r w:rsidRPr="00232E34">
        <w:rPr>
          <w:b/>
          <w:bCs/>
          <w:lang w:val="en-AU"/>
        </w:rPr>
        <w:t>Co-design</w:t>
      </w:r>
      <w:r w:rsidRPr="00232E34">
        <w:rPr>
          <w:lang w:val="en-AU"/>
        </w:rPr>
        <w:t xml:space="preserve">: While the </w:t>
      </w:r>
      <w:r w:rsidR="007547D7">
        <w:rPr>
          <w:lang w:val="en-AU"/>
        </w:rPr>
        <w:t>NDIS</w:t>
      </w:r>
      <w:r w:rsidRPr="00232E34">
        <w:rPr>
          <w:lang w:val="en-AU"/>
        </w:rPr>
        <w:t xml:space="preserve"> </w:t>
      </w:r>
      <w:r w:rsidR="000E7D81">
        <w:rPr>
          <w:lang w:val="en-AU"/>
        </w:rPr>
        <w:t xml:space="preserve">Act </w:t>
      </w:r>
      <w:r w:rsidRPr="00232E34">
        <w:rPr>
          <w:lang w:val="en-AU"/>
        </w:rPr>
        <w:t xml:space="preserve">does not mandate co-design for developing future changes, it does </w:t>
      </w:r>
      <w:r w:rsidR="00523BB9">
        <w:rPr>
          <w:lang w:val="en-AU"/>
        </w:rPr>
        <w:t xml:space="preserve">now </w:t>
      </w:r>
      <w:r w:rsidRPr="00232E34">
        <w:rPr>
          <w:lang w:val="en-AU"/>
        </w:rPr>
        <w:t xml:space="preserve">require the NDIS Minister to consult with the disability community on all new legislative instruments and provide a statement </w:t>
      </w:r>
      <w:r w:rsidR="00EA1A1A">
        <w:rPr>
          <w:lang w:val="en-AU"/>
        </w:rPr>
        <w:t xml:space="preserve">to the Parliament </w:t>
      </w:r>
      <w:r w:rsidRPr="00232E34">
        <w:rPr>
          <w:lang w:val="en-AU"/>
        </w:rPr>
        <w:t xml:space="preserve">about who was consulted </w:t>
      </w:r>
      <w:r w:rsidR="007735FC">
        <w:rPr>
          <w:lang w:val="en-AU"/>
        </w:rPr>
        <w:t>with</w:t>
      </w:r>
      <w:r w:rsidRPr="00232E34">
        <w:rPr>
          <w:lang w:val="en-AU"/>
        </w:rPr>
        <w:t xml:space="preserve"> a summary of the views expressed. These requirements are designed to encourage appropriate engagement by the Minister of the day with the disability community and its representatives.</w:t>
      </w:r>
    </w:p>
    <w:p w14:paraId="50323647" w14:textId="10924201" w:rsidR="00232E34" w:rsidRDefault="00232E34" w:rsidP="00232E34">
      <w:pPr>
        <w:pStyle w:val="ListParagraph"/>
        <w:numPr>
          <w:ilvl w:val="0"/>
          <w:numId w:val="36"/>
        </w:numPr>
        <w:rPr>
          <w:lang w:val="en-AU"/>
        </w:rPr>
      </w:pPr>
      <w:r w:rsidRPr="00232E34">
        <w:rPr>
          <w:b/>
          <w:bCs/>
          <w:lang w:val="en-AU"/>
        </w:rPr>
        <w:t>New NDIA powers</w:t>
      </w:r>
      <w:r w:rsidRPr="00232E34">
        <w:rPr>
          <w:lang w:val="en-AU"/>
        </w:rPr>
        <w:t xml:space="preserve">: The NDIA </w:t>
      </w:r>
      <w:r w:rsidR="00DE1AA1">
        <w:rPr>
          <w:lang w:val="en-AU"/>
        </w:rPr>
        <w:t xml:space="preserve">has </w:t>
      </w:r>
      <w:r w:rsidRPr="00232E34">
        <w:rPr>
          <w:lang w:val="en-AU"/>
        </w:rPr>
        <w:t>significant new powers, including to:</w:t>
      </w:r>
    </w:p>
    <w:p w14:paraId="2DF47851" w14:textId="16BCCEA7" w:rsidR="00232E34" w:rsidRDefault="00232E34" w:rsidP="00232E34">
      <w:pPr>
        <w:pStyle w:val="ListParagraph"/>
        <w:numPr>
          <w:ilvl w:val="1"/>
          <w:numId w:val="36"/>
        </w:numPr>
        <w:rPr>
          <w:lang w:val="en-AU"/>
        </w:rPr>
      </w:pPr>
      <w:r w:rsidRPr="00232E34">
        <w:rPr>
          <w:lang w:val="en-AU"/>
        </w:rPr>
        <w:t>compel a participant to provide information or documents. For example, if the NDIA is considering revoking a participant’s access to the NDIS, the NDIA can request any ‘information that is reasonably necessary’</w:t>
      </w:r>
      <w:r w:rsidR="00785738">
        <w:rPr>
          <w:lang w:val="en-AU"/>
        </w:rPr>
        <w:t xml:space="preserve"> to make the decision</w:t>
      </w:r>
      <w:r w:rsidRPr="00232E34">
        <w:rPr>
          <w:lang w:val="en-AU"/>
        </w:rPr>
        <w:t xml:space="preserve"> or ask a person to undergo a medical assessment</w:t>
      </w:r>
      <w:r w:rsidR="00652E7C">
        <w:rPr>
          <w:lang w:val="en-AU"/>
        </w:rPr>
        <w:t>.</w:t>
      </w:r>
      <w:r w:rsidRPr="00232E34">
        <w:rPr>
          <w:lang w:val="en-AU"/>
        </w:rPr>
        <w:t xml:space="preserve"> </w:t>
      </w:r>
      <w:r w:rsidR="00652E7C">
        <w:rPr>
          <w:lang w:val="en-AU"/>
        </w:rPr>
        <w:t>I</w:t>
      </w:r>
      <w:r w:rsidRPr="00232E34">
        <w:rPr>
          <w:lang w:val="en-AU"/>
        </w:rPr>
        <w:t xml:space="preserve">f the person refuses to comply without good reason, their access may be revoked; </w:t>
      </w:r>
    </w:p>
    <w:p w14:paraId="0578C747" w14:textId="16271288" w:rsidR="00232E34" w:rsidRDefault="00232E34" w:rsidP="00232E34">
      <w:pPr>
        <w:pStyle w:val="ListParagraph"/>
        <w:numPr>
          <w:ilvl w:val="1"/>
          <w:numId w:val="36"/>
        </w:numPr>
        <w:rPr>
          <w:lang w:val="en-AU"/>
        </w:rPr>
      </w:pPr>
      <w:r w:rsidRPr="00232E34">
        <w:rPr>
          <w:lang w:val="en-AU"/>
        </w:rPr>
        <w:t>change the plan management type for some or all of a participant’s budget in certain circumstances</w:t>
      </w:r>
      <w:r w:rsidR="00892724">
        <w:rPr>
          <w:lang w:val="en-AU"/>
        </w:rPr>
        <w:t xml:space="preserve"> (eg where </w:t>
      </w:r>
      <w:r w:rsidR="00625CE3">
        <w:rPr>
          <w:lang w:val="en-AU"/>
        </w:rPr>
        <w:t xml:space="preserve">NDIS </w:t>
      </w:r>
      <w:r w:rsidR="00214FEE">
        <w:rPr>
          <w:lang w:val="en-AU"/>
        </w:rPr>
        <w:t xml:space="preserve">funds have </w:t>
      </w:r>
      <w:r w:rsidR="00625CE3">
        <w:rPr>
          <w:lang w:val="en-AU"/>
        </w:rPr>
        <w:t xml:space="preserve">previously </w:t>
      </w:r>
      <w:r w:rsidR="00214FEE">
        <w:rPr>
          <w:lang w:val="en-AU"/>
        </w:rPr>
        <w:t xml:space="preserve">not </w:t>
      </w:r>
      <w:r w:rsidR="00625CE3">
        <w:rPr>
          <w:lang w:val="en-AU"/>
        </w:rPr>
        <w:t xml:space="preserve">been spent </w:t>
      </w:r>
      <w:r w:rsidR="00870EED">
        <w:rPr>
          <w:lang w:val="en-AU"/>
        </w:rPr>
        <w:t>in line with a participant’s plan)</w:t>
      </w:r>
      <w:r w:rsidRPr="00232E34">
        <w:rPr>
          <w:lang w:val="en-AU"/>
        </w:rPr>
        <w:t xml:space="preserve">. </w:t>
      </w:r>
    </w:p>
    <w:p w14:paraId="0EEBE8A6" w14:textId="33DD06FE" w:rsidR="00DD41C3" w:rsidRDefault="00232E34" w:rsidP="00232E34">
      <w:pPr>
        <w:pStyle w:val="ListParagraph"/>
        <w:numPr>
          <w:ilvl w:val="0"/>
          <w:numId w:val="36"/>
        </w:numPr>
        <w:rPr>
          <w:lang w:val="en-AU"/>
        </w:rPr>
      </w:pPr>
      <w:r w:rsidRPr="00232E34">
        <w:rPr>
          <w:b/>
          <w:bCs/>
          <w:lang w:val="en-AU"/>
        </w:rPr>
        <w:t>Claims and payments</w:t>
      </w:r>
      <w:r w:rsidRPr="00232E34">
        <w:rPr>
          <w:lang w:val="en-AU"/>
        </w:rPr>
        <w:t xml:space="preserve">: Claims will now need to be made within two years of the participant receiving the support. </w:t>
      </w:r>
      <w:r w:rsidR="003E7FE1">
        <w:rPr>
          <w:lang w:val="en-AU"/>
        </w:rPr>
        <w:t>P</w:t>
      </w:r>
      <w:r w:rsidR="003E7FE1" w:rsidRPr="00232E34">
        <w:rPr>
          <w:lang w:val="en-AU"/>
        </w:rPr>
        <w:t>articipants</w:t>
      </w:r>
      <w:r w:rsidRPr="00232E34">
        <w:rPr>
          <w:lang w:val="en-AU"/>
        </w:rPr>
        <w:t xml:space="preserve">, nominees, plan managers and providers </w:t>
      </w:r>
      <w:r w:rsidR="003E7FE1">
        <w:rPr>
          <w:lang w:val="en-AU"/>
        </w:rPr>
        <w:t xml:space="preserve">have </w:t>
      </w:r>
      <w:r w:rsidR="003E7FE1" w:rsidRPr="00232E34">
        <w:rPr>
          <w:lang w:val="en-AU"/>
        </w:rPr>
        <w:t xml:space="preserve">12 months from 3 October 2024 </w:t>
      </w:r>
      <w:r w:rsidRPr="00232E34">
        <w:rPr>
          <w:lang w:val="en-AU"/>
        </w:rPr>
        <w:t>to submit claims for payments more than 2 years old.</w:t>
      </w:r>
    </w:p>
    <w:p w14:paraId="4715D485" w14:textId="10D0C332" w:rsidR="004E75F9" w:rsidRPr="00DD41C3" w:rsidRDefault="00DD41C3" w:rsidP="00DD41C3">
      <w:pPr>
        <w:spacing w:after="0" w:line="240" w:lineRule="auto"/>
        <w:rPr>
          <w:lang w:val="en-AU"/>
        </w:rPr>
      </w:pPr>
      <w:r>
        <w:rPr>
          <w:lang w:val="en-AU"/>
        </w:rPr>
        <w:br w:type="page"/>
      </w:r>
    </w:p>
    <w:p w14:paraId="54F1F68A" w14:textId="09C017C7" w:rsidR="00232E34" w:rsidRDefault="00232E34" w:rsidP="00232E34">
      <w:pPr>
        <w:pStyle w:val="NumberedHeading1"/>
        <w:rPr>
          <w:lang w:val="en-AU"/>
        </w:rPr>
      </w:pPr>
      <w:bookmarkStart w:id="12" w:name="_Toc190427209"/>
      <w:r>
        <w:rPr>
          <w:lang w:val="en-AU"/>
        </w:rPr>
        <w:lastRenderedPageBreak/>
        <w:t>Co-design of reforms</w:t>
      </w:r>
      <w:bookmarkEnd w:id="12"/>
    </w:p>
    <w:p w14:paraId="7D3ED7A5" w14:textId="7449BF33" w:rsidR="00BD2887" w:rsidRDefault="00BD2887" w:rsidP="00BD2887">
      <w:pPr>
        <w:rPr>
          <w:lang w:val="en-AU"/>
        </w:rPr>
      </w:pPr>
      <w:r w:rsidRPr="00BD2887">
        <w:rPr>
          <w:lang w:val="en-AU"/>
        </w:rPr>
        <w:t xml:space="preserve">The Government has </w:t>
      </w:r>
      <w:r w:rsidR="002769FB">
        <w:rPr>
          <w:lang w:val="en-AU"/>
        </w:rPr>
        <w:t xml:space="preserve">said </w:t>
      </w:r>
      <w:r w:rsidR="00A26F49">
        <w:rPr>
          <w:lang w:val="en-AU"/>
        </w:rPr>
        <w:t xml:space="preserve">it will develop </w:t>
      </w:r>
      <w:r w:rsidR="004B249C">
        <w:rPr>
          <w:lang w:val="en-AU"/>
        </w:rPr>
        <w:t>further reforms</w:t>
      </w:r>
      <w:r w:rsidR="00A26CCB">
        <w:rPr>
          <w:lang w:val="en-AU"/>
        </w:rPr>
        <w:t xml:space="preserve"> </w:t>
      </w:r>
      <w:r w:rsidR="000C3BC9">
        <w:rPr>
          <w:lang w:val="en-AU"/>
        </w:rPr>
        <w:t xml:space="preserve">using a </w:t>
      </w:r>
      <w:r w:rsidRPr="00BD2887">
        <w:rPr>
          <w:lang w:val="en-AU"/>
        </w:rPr>
        <w:t>co-design process</w:t>
      </w:r>
      <w:r w:rsidR="00787061">
        <w:rPr>
          <w:lang w:val="en-AU"/>
        </w:rPr>
        <w:t xml:space="preserve">, </w:t>
      </w:r>
      <w:r w:rsidR="00B74EC6">
        <w:rPr>
          <w:lang w:val="en-AU"/>
        </w:rPr>
        <w:t>such as</w:t>
      </w:r>
      <w:r w:rsidRPr="00BD2887">
        <w:rPr>
          <w:lang w:val="en-AU"/>
        </w:rPr>
        <w:t>:</w:t>
      </w:r>
    </w:p>
    <w:p w14:paraId="3C512386" w14:textId="0CBE6A99" w:rsidR="00BD2887" w:rsidRDefault="004E77C5" w:rsidP="00BD2887">
      <w:pPr>
        <w:pStyle w:val="ListParagraph"/>
        <w:numPr>
          <w:ilvl w:val="0"/>
          <w:numId w:val="37"/>
        </w:numPr>
        <w:rPr>
          <w:lang w:val="en-AU"/>
        </w:rPr>
      </w:pPr>
      <w:r>
        <w:rPr>
          <w:lang w:val="en-AU"/>
        </w:rPr>
        <w:t>n</w:t>
      </w:r>
      <w:r w:rsidRPr="00BD2887">
        <w:rPr>
          <w:lang w:val="en-AU"/>
        </w:rPr>
        <w:t xml:space="preserve">ew </w:t>
      </w:r>
      <w:r w:rsidR="00BD2887" w:rsidRPr="00BD2887">
        <w:rPr>
          <w:lang w:val="en-AU"/>
        </w:rPr>
        <w:t>NDIS Rules to provide clarity and detail about the meaning of key concepts in the NDIS Act, including in relation to how decisions about access to the NDIS are made</w:t>
      </w:r>
      <w:r w:rsidR="00B36216">
        <w:rPr>
          <w:lang w:val="en-AU"/>
        </w:rPr>
        <w:t>;</w:t>
      </w:r>
    </w:p>
    <w:p w14:paraId="605F17F9" w14:textId="3BF1B575" w:rsidR="00BD2887" w:rsidRDefault="004E77C5" w:rsidP="00BD2887">
      <w:pPr>
        <w:pStyle w:val="ListParagraph"/>
        <w:numPr>
          <w:ilvl w:val="0"/>
          <w:numId w:val="37"/>
        </w:numPr>
        <w:rPr>
          <w:lang w:val="en-AU"/>
        </w:rPr>
      </w:pPr>
      <w:r>
        <w:rPr>
          <w:lang w:val="en-AU"/>
        </w:rPr>
        <w:t>t</w:t>
      </w:r>
      <w:r w:rsidRPr="00BD2887">
        <w:rPr>
          <w:lang w:val="en-AU"/>
        </w:rPr>
        <w:t xml:space="preserve">he </w:t>
      </w:r>
      <w:r w:rsidR="00BD2887" w:rsidRPr="00BD2887">
        <w:rPr>
          <w:lang w:val="en-AU"/>
        </w:rPr>
        <w:t>needs assessment process, including the information required to be included in the needs assessment report</w:t>
      </w:r>
      <w:r w:rsidR="00121DAC">
        <w:rPr>
          <w:lang w:val="en-AU"/>
        </w:rPr>
        <w:t>, and</w:t>
      </w:r>
      <w:r w:rsidR="00BD2887" w:rsidRPr="00BD2887">
        <w:rPr>
          <w:lang w:val="en-AU"/>
        </w:rPr>
        <w:t xml:space="preserve"> </w:t>
      </w:r>
      <w:r w:rsidR="00121DAC">
        <w:rPr>
          <w:lang w:val="en-AU"/>
        </w:rPr>
        <w:t xml:space="preserve">a </w:t>
      </w:r>
      <w:r w:rsidR="00BD2887" w:rsidRPr="00BD2887">
        <w:rPr>
          <w:lang w:val="en-AU"/>
        </w:rPr>
        <w:t>new budget setting process informed by the needs assessment</w:t>
      </w:r>
      <w:r w:rsidR="00B36216">
        <w:rPr>
          <w:lang w:val="en-AU"/>
        </w:rPr>
        <w:t>;</w:t>
      </w:r>
      <w:r w:rsidR="00BD2887" w:rsidRPr="00BD2887">
        <w:rPr>
          <w:lang w:val="en-AU"/>
        </w:rPr>
        <w:t xml:space="preserve"> </w:t>
      </w:r>
      <w:r w:rsidR="005329B9">
        <w:rPr>
          <w:lang w:val="en-AU"/>
        </w:rPr>
        <w:t>and</w:t>
      </w:r>
      <w:r w:rsidR="00BD2887" w:rsidRPr="00BD2887">
        <w:rPr>
          <w:lang w:val="en-AU"/>
        </w:rPr>
        <w:t xml:space="preserve">  </w:t>
      </w:r>
    </w:p>
    <w:p w14:paraId="7E64CFA5" w14:textId="4E522D36" w:rsidR="00BD2887" w:rsidRPr="00BD2887" w:rsidRDefault="004E77C5" w:rsidP="00BD2887">
      <w:pPr>
        <w:pStyle w:val="ListParagraph"/>
        <w:numPr>
          <w:ilvl w:val="0"/>
          <w:numId w:val="37"/>
        </w:numPr>
        <w:rPr>
          <w:lang w:val="en-AU"/>
        </w:rPr>
      </w:pPr>
      <w:r>
        <w:rPr>
          <w:lang w:val="en-AU"/>
        </w:rPr>
        <w:t>t</w:t>
      </w:r>
      <w:r w:rsidRPr="00BD2887">
        <w:rPr>
          <w:lang w:val="en-AU"/>
        </w:rPr>
        <w:t xml:space="preserve">he </w:t>
      </w:r>
      <w:r w:rsidR="00BD2887" w:rsidRPr="00BD2887">
        <w:rPr>
          <w:lang w:val="en-AU"/>
        </w:rPr>
        <w:t xml:space="preserve">design of a new navigator function to help people navigate the disability ecosystem and new payment models. </w:t>
      </w:r>
    </w:p>
    <w:p w14:paraId="154F5EB6" w14:textId="2D435777" w:rsidR="00BD2887" w:rsidRDefault="00BA0537" w:rsidP="00BD2887">
      <w:pPr>
        <w:rPr>
          <w:lang w:val="en-AU"/>
        </w:rPr>
      </w:pPr>
      <w:r>
        <w:rPr>
          <w:lang w:val="en-AU"/>
        </w:rPr>
        <w:t xml:space="preserve">The </w:t>
      </w:r>
      <w:r w:rsidR="00BD2887" w:rsidRPr="00BD2887">
        <w:rPr>
          <w:lang w:val="en-AU"/>
        </w:rPr>
        <w:t xml:space="preserve">Government has indicated </w:t>
      </w:r>
      <w:r w:rsidR="00912575">
        <w:rPr>
          <w:lang w:val="en-AU"/>
        </w:rPr>
        <w:t xml:space="preserve">future reforms will also be </w:t>
      </w:r>
      <w:r w:rsidR="00BD2887" w:rsidRPr="00BD2887">
        <w:rPr>
          <w:lang w:val="en-AU"/>
        </w:rPr>
        <w:t>co-design</w:t>
      </w:r>
      <w:r w:rsidR="00912575">
        <w:rPr>
          <w:lang w:val="en-AU"/>
        </w:rPr>
        <w:t>ed, including</w:t>
      </w:r>
      <w:r w:rsidR="008D6A5D">
        <w:rPr>
          <w:lang w:val="en-AU"/>
        </w:rPr>
        <w:t xml:space="preserve"> reforms relating to</w:t>
      </w:r>
      <w:r w:rsidR="00BD2887" w:rsidRPr="00BD2887">
        <w:rPr>
          <w:lang w:val="en-AU"/>
        </w:rPr>
        <w:t xml:space="preserve">: </w:t>
      </w:r>
    </w:p>
    <w:p w14:paraId="18DC6F4D" w14:textId="2585C46E" w:rsidR="00BD2887" w:rsidRDefault="00BD2887" w:rsidP="00BD2887">
      <w:pPr>
        <w:pStyle w:val="ListParagraph"/>
        <w:numPr>
          <w:ilvl w:val="0"/>
          <w:numId w:val="38"/>
        </w:numPr>
        <w:rPr>
          <w:lang w:val="en-AU"/>
        </w:rPr>
      </w:pPr>
      <w:r w:rsidRPr="00BD2887">
        <w:rPr>
          <w:lang w:val="en-AU"/>
        </w:rPr>
        <w:t>home and living</w:t>
      </w:r>
      <w:r w:rsidR="009F0459">
        <w:rPr>
          <w:lang w:val="en-AU"/>
        </w:rPr>
        <w:t xml:space="preserve"> supports</w:t>
      </w:r>
      <w:r w:rsidRPr="00BD2887">
        <w:rPr>
          <w:lang w:val="en-AU"/>
        </w:rPr>
        <w:t>;</w:t>
      </w:r>
    </w:p>
    <w:p w14:paraId="3278FCC6" w14:textId="77777777" w:rsidR="00BD2887" w:rsidRDefault="00BD2887" w:rsidP="00BD2887">
      <w:pPr>
        <w:pStyle w:val="ListParagraph"/>
        <w:numPr>
          <w:ilvl w:val="0"/>
          <w:numId w:val="38"/>
        </w:numPr>
        <w:rPr>
          <w:lang w:val="en-AU"/>
        </w:rPr>
      </w:pPr>
      <w:r w:rsidRPr="00BD2887">
        <w:rPr>
          <w:lang w:val="en-AU"/>
        </w:rPr>
        <w:t>integrity and fraud prevention;</w:t>
      </w:r>
    </w:p>
    <w:p w14:paraId="5E4AE672" w14:textId="77777777" w:rsidR="00BD2887" w:rsidRDefault="00BD2887" w:rsidP="00BD2887">
      <w:pPr>
        <w:pStyle w:val="ListParagraph"/>
        <w:numPr>
          <w:ilvl w:val="0"/>
          <w:numId w:val="38"/>
        </w:numPr>
        <w:rPr>
          <w:lang w:val="en-AU"/>
        </w:rPr>
      </w:pPr>
      <w:r w:rsidRPr="00BD2887">
        <w:rPr>
          <w:lang w:val="en-AU"/>
        </w:rPr>
        <w:t>workforce capability and culture; and</w:t>
      </w:r>
    </w:p>
    <w:p w14:paraId="02FCB856" w14:textId="57FE9FF2" w:rsidR="00BD2887" w:rsidRPr="00BD2887" w:rsidRDefault="00BD2887" w:rsidP="00BD2887">
      <w:pPr>
        <w:pStyle w:val="ListParagraph"/>
        <w:numPr>
          <w:ilvl w:val="0"/>
          <w:numId w:val="38"/>
        </w:numPr>
        <w:rPr>
          <w:lang w:val="en-AU"/>
        </w:rPr>
      </w:pPr>
      <w:r w:rsidRPr="00BD2887">
        <w:rPr>
          <w:lang w:val="en-AU"/>
        </w:rPr>
        <w:t>participant safety.</w:t>
      </w:r>
    </w:p>
    <w:p w14:paraId="34385F49" w14:textId="6319AA58" w:rsidR="00BD2887" w:rsidRPr="00BD2887" w:rsidRDefault="00BD2887" w:rsidP="00BD2887">
      <w:pPr>
        <w:rPr>
          <w:lang w:val="en-AU"/>
        </w:rPr>
      </w:pPr>
      <w:r w:rsidRPr="00BD2887">
        <w:rPr>
          <w:lang w:val="en-AU"/>
        </w:rPr>
        <w:t xml:space="preserve">Some </w:t>
      </w:r>
      <w:r w:rsidR="002877C4">
        <w:rPr>
          <w:lang w:val="en-AU"/>
        </w:rPr>
        <w:t xml:space="preserve">in the </w:t>
      </w:r>
      <w:r w:rsidRPr="00BD2887">
        <w:rPr>
          <w:lang w:val="en-AU"/>
        </w:rPr>
        <w:t xml:space="preserve">disability community have </w:t>
      </w:r>
      <w:hyperlink r:id="rId14" w:history="1">
        <w:r w:rsidRPr="003739F6">
          <w:rPr>
            <w:rStyle w:val="Hyperlink"/>
            <w:lang w:val="en-AU"/>
          </w:rPr>
          <w:t xml:space="preserve">expressed increasing </w:t>
        </w:r>
        <w:r w:rsidR="00653272" w:rsidRPr="003739F6">
          <w:rPr>
            <w:rStyle w:val="Hyperlink"/>
            <w:lang w:val="en-AU"/>
          </w:rPr>
          <w:t>concern</w:t>
        </w:r>
      </w:hyperlink>
      <w:r w:rsidR="00653272" w:rsidRPr="00BD2887">
        <w:rPr>
          <w:lang w:val="en-AU"/>
        </w:rPr>
        <w:t xml:space="preserve"> </w:t>
      </w:r>
      <w:r w:rsidRPr="00BD2887">
        <w:rPr>
          <w:lang w:val="en-AU"/>
        </w:rPr>
        <w:t>with the Government’s approach to co-design. In particular, the rapid pace at which reforms are being proposed and implemented seems too rushed for meaningful co-design with people with disability.</w:t>
      </w:r>
      <w:r w:rsidR="006E0A70">
        <w:rPr>
          <w:lang w:val="en-AU"/>
        </w:rPr>
        <w:t xml:space="preserve"> </w:t>
      </w:r>
      <w:r w:rsidRPr="00BD2887">
        <w:rPr>
          <w:lang w:val="en-AU"/>
        </w:rPr>
        <w:t xml:space="preserve">Additionally, some are concerned </w:t>
      </w:r>
      <w:r w:rsidR="00F04FB4">
        <w:rPr>
          <w:lang w:val="en-AU"/>
        </w:rPr>
        <w:t xml:space="preserve">the </w:t>
      </w:r>
      <w:r w:rsidRPr="00BD2887">
        <w:rPr>
          <w:lang w:val="en-AU"/>
        </w:rPr>
        <w:t>outcomes of these co-design processes are more reflective of Government policy priorities than disability community views. Full co-design must involve sufficient time for the community to participate, and genuine shared decision-making.</w:t>
      </w:r>
    </w:p>
    <w:p w14:paraId="6B7273E0" w14:textId="39BF27A4" w:rsidR="00232E34" w:rsidRDefault="00BD2887" w:rsidP="00BD2887">
      <w:pPr>
        <w:rPr>
          <w:lang w:val="en-AU"/>
        </w:rPr>
      </w:pPr>
      <w:r w:rsidRPr="00BD2887">
        <w:rPr>
          <w:lang w:val="en-AU"/>
        </w:rPr>
        <w:t>In an encouraging sign, on 15 January 2025 the</w:t>
      </w:r>
      <w:r w:rsidRPr="00BD2887" w:rsidDel="00540318">
        <w:rPr>
          <w:lang w:val="en-AU"/>
        </w:rPr>
        <w:t xml:space="preserve"> </w:t>
      </w:r>
      <w:r w:rsidRPr="00BD2887">
        <w:rPr>
          <w:lang w:val="en-AU"/>
        </w:rPr>
        <w:t xml:space="preserve">Government </w:t>
      </w:r>
      <w:r w:rsidR="00DF1E6F">
        <w:rPr>
          <w:lang w:val="en-AU"/>
        </w:rPr>
        <w:t xml:space="preserve">established </w:t>
      </w:r>
      <w:r w:rsidR="00DF1E6F" w:rsidRPr="00BD2887">
        <w:rPr>
          <w:lang w:val="en-AU"/>
        </w:rPr>
        <w:t xml:space="preserve">the </w:t>
      </w:r>
      <w:hyperlink r:id="rId15" w:history="1">
        <w:r w:rsidR="00DF1E6F" w:rsidRPr="00654154">
          <w:rPr>
            <w:rStyle w:val="Hyperlink"/>
            <w:lang w:val="en-AU"/>
          </w:rPr>
          <w:t>NDIS Reform Advisory Committee</w:t>
        </w:r>
      </w:hyperlink>
      <w:r w:rsidR="00DF1E6F">
        <w:rPr>
          <w:lang w:val="en-AU"/>
        </w:rPr>
        <w:t>,</w:t>
      </w:r>
      <w:r w:rsidR="00DF1E6F" w:rsidRPr="00BD2887">
        <w:rPr>
          <w:lang w:val="en-AU"/>
        </w:rPr>
        <w:t xml:space="preserve"> </w:t>
      </w:r>
      <w:r w:rsidRPr="00BD2887">
        <w:rPr>
          <w:lang w:val="en-AU"/>
        </w:rPr>
        <w:t>implement</w:t>
      </w:r>
      <w:r w:rsidR="00DF1E6F">
        <w:rPr>
          <w:lang w:val="en-AU"/>
        </w:rPr>
        <w:t>ing</w:t>
      </w:r>
      <w:r w:rsidRPr="00BD2887" w:rsidDel="00DF1E6F">
        <w:rPr>
          <w:lang w:val="en-AU"/>
        </w:rPr>
        <w:t xml:space="preserve"> </w:t>
      </w:r>
      <w:r w:rsidR="00DF1E6F">
        <w:rPr>
          <w:lang w:val="en-AU"/>
        </w:rPr>
        <w:t>a</w:t>
      </w:r>
      <w:r w:rsidR="00DF1E6F" w:rsidRPr="00BD2887">
        <w:rPr>
          <w:lang w:val="en-AU"/>
        </w:rPr>
        <w:t xml:space="preserve"> </w:t>
      </w:r>
      <w:r w:rsidRPr="00BD2887">
        <w:rPr>
          <w:lang w:val="en-AU"/>
        </w:rPr>
        <w:t>recommendation of the NDIS Review. The Committee will monitor and directly advise Disability Ministers on implementation of NDIS reforms, including on policy, process, timing and community views.</w:t>
      </w:r>
      <w:r w:rsidR="00493ADE">
        <w:rPr>
          <w:lang w:val="en-AU"/>
        </w:rPr>
        <w:t xml:space="preserve"> </w:t>
      </w:r>
      <w:r w:rsidR="00DF26AC">
        <w:rPr>
          <w:lang w:val="en-AU"/>
        </w:rPr>
        <w:t>El Gibbs and Dougie Herd, long-term</w:t>
      </w:r>
      <w:r w:rsidR="00493ADE">
        <w:rPr>
          <w:lang w:val="en-AU"/>
        </w:rPr>
        <w:t xml:space="preserve"> advocates with lived experience of disability, have been </w:t>
      </w:r>
      <w:r w:rsidR="00DF26AC">
        <w:rPr>
          <w:lang w:val="en-AU"/>
        </w:rPr>
        <w:t>appointed</w:t>
      </w:r>
      <w:r w:rsidR="00493ADE">
        <w:rPr>
          <w:lang w:val="en-AU"/>
        </w:rPr>
        <w:t xml:space="preserve"> as co-Chairs</w:t>
      </w:r>
      <w:r w:rsidR="00DF26AC">
        <w:rPr>
          <w:lang w:val="en-AU"/>
        </w:rPr>
        <w:t xml:space="preserve">. </w:t>
      </w:r>
      <w:r w:rsidR="00B123E6">
        <w:rPr>
          <w:lang w:val="en-AU"/>
        </w:rPr>
        <w:t xml:space="preserve">Additional committee members will be appointed by an </w:t>
      </w:r>
      <w:r w:rsidR="00E07B62">
        <w:rPr>
          <w:lang w:val="en-AU"/>
        </w:rPr>
        <w:t>expression of interest (</w:t>
      </w:r>
      <w:r w:rsidR="00E21480">
        <w:rPr>
          <w:lang w:val="en-AU"/>
        </w:rPr>
        <w:t>‘</w:t>
      </w:r>
      <w:r w:rsidR="00E07B62">
        <w:rPr>
          <w:lang w:val="en-AU"/>
        </w:rPr>
        <w:t>EOI</w:t>
      </w:r>
      <w:r w:rsidR="00E21480">
        <w:rPr>
          <w:lang w:val="en-AU"/>
        </w:rPr>
        <w:t>’</w:t>
      </w:r>
      <w:r w:rsidR="00E07B62">
        <w:rPr>
          <w:lang w:val="en-AU"/>
        </w:rPr>
        <w:t>) process run by the Department of Social Services</w:t>
      </w:r>
      <w:r w:rsidR="00E4171E">
        <w:rPr>
          <w:lang w:val="en-AU"/>
        </w:rPr>
        <w:t xml:space="preserve"> (‘DSS’)</w:t>
      </w:r>
      <w:r w:rsidR="00E07B62">
        <w:rPr>
          <w:lang w:val="en-AU"/>
        </w:rPr>
        <w:t>.</w:t>
      </w:r>
    </w:p>
    <w:p w14:paraId="558A1D30" w14:textId="3D6FB6A2" w:rsidR="00BD2887" w:rsidRDefault="00BD2887" w:rsidP="00BD2887">
      <w:pPr>
        <w:pStyle w:val="NumberedHeading1"/>
        <w:rPr>
          <w:lang w:val="en-AU"/>
        </w:rPr>
      </w:pPr>
      <w:bookmarkStart w:id="13" w:name="_Toc190427210"/>
      <w:r>
        <w:rPr>
          <w:lang w:val="en-AU"/>
        </w:rPr>
        <w:t>NDIS supports lists</w:t>
      </w:r>
      <w:bookmarkEnd w:id="13"/>
      <w:r>
        <w:rPr>
          <w:lang w:val="en-AU"/>
        </w:rPr>
        <w:t xml:space="preserve"> </w:t>
      </w:r>
    </w:p>
    <w:p w14:paraId="7C6367DB" w14:textId="38B47737" w:rsidR="00BD2887" w:rsidRDefault="00BD2887" w:rsidP="00BD2887">
      <w:pPr>
        <w:pStyle w:val="NumberedHeading2"/>
      </w:pPr>
      <w:bookmarkStart w:id="14" w:name="_Toc190427211"/>
      <w:r>
        <w:t>What is included?</w:t>
      </w:r>
      <w:bookmarkEnd w:id="14"/>
    </w:p>
    <w:p w14:paraId="46D83E2D" w14:textId="604D3D82" w:rsidR="00A57D56" w:rsidRPr="00A57D56" w:rsidRDefault="00A57D56" w:rsidP="00A57D56">
      <w:pPr>
        <w:rPr>
          <w:lang w:val="en-AU"/>
        </w:rPr>
      </w:pPr>
      <w:r w:rsidRPr="00A57D56">
        <w:rPr>
          <w:lang w:val="en-AU"/>
        </w:rPr>
        <w:t xml:space="preserve">The current interim list of NDIS supports </w:t>
      </w:r>
      <w:r w:rsidR="00D75DA9">
        <w:rPr>
          <w:lang w:val="en-AU"/>
        </w:rPr>
        <w:t>includes</w:t>
      </w:r>
      <w:r w:rsidR="00D75DA9" w:rsidRPr="00A57D56">
        <w:rPr>
          <w:lang w:val="en-AU"/>
        </w:rPr>
        <w:t xml:space="preserve"> </w:t>
      </w:r>
      <w:r w:rsidRPr="00A57D56">
        <w:rPr>
          <w:lang w:val="en-AU"/>
        </w:rPr>
        <w:t>36 individual categories</w:t>
      </w:r>
      <w:r w:rsidR="00D75DA9">
        <w:rPr>
          <w:lang w:val="en-AU"/>
        </w:rPr>
        <w:t>.</w:t>
      </w:r>
      <w:r w:rsidRPr="00A57D56">
        <w:rPr>
          <w:lang w:val="en-AU"/>
        </w:rPr>
        <w:t xml:space="preserve"> </w:t>
      </w:r>
      <w:r w:rsidR="00D75DA9">
        <w:rPr>
          <w:lang w:val="en-AU"/>
        </w:rPr>
        <w:t>Each cate</w:t>
      </w:r>
      <w:r w:rsidR="00807369">
        <w:rPr>
          <w:lang w:val="en-AU"/>
        </w:rPr>
        <w:t>gory</w:t>
      </w:r>
      <w:r w:rsidRPr="00A57D56">
        <w:rPr>
          <w:lang w:val="en-AU"/>
        </w:rPr>
        <w:t xml:space="preserve"> </w:t>
      </w:r>
      <w:r w:rsidR="005425BA">
        <w:rPr>
          <w:lang w:val="en-AU"/>
        </w:rPr>
        <w:t>includes</w:t>
      </w:r>
      <w:r w:rsidRPr="00A57D56">
        <w:rPr>
          <w:lang w:val="en-AU"/>
        </w:rPr>
        <w:t xml:space="preserve"> a description of the supports covered by the category and the participants who </w:t>
      </w:r>
      <w:r w:rsidR="00050ACA">
        <w:rPr>
          <w:lang w:val="en-AU"/>
        </w:rPr>
        <w:t>can access those supports</w:t>
      </w:r>
      <w:r w:rsidRPr="00A57D56">
        <w:rPr>
          <w:lang w:val="en-AU"/>
        </w:rPr>
        <w:t xml:space="preserve">. </w:t>
      </w:r>
      <w:r w:rsidR="009B1B5F">
        <w:rPr>
          <w:lang w:val="en-AU"/>
        </w:rPr>
        <w:t>M</w:t>
      </w:r>
      <w:r w:rsidRPr="00A57D56">
        <w:rPr>
          <w:lang w:val="en-AU"/>
        </w:rPr>
        <w:t xml:space="preserve">any categories </w:t>
      </w:r>
      <w:r w:rsidR="005A560B">
        <w:rPr>
          <w:lang w:val="en-AU"/>
        </w:rPr>
        <w:t>mirror the categories in</w:t>
      </w:r>
      <w:r w:rsidR="005A560B" w:rsidRPr="00A57D56">
        <w:rPr>
          <w:lang w:val="en-AU"/>
        </w:rPr>
        <w:t xml:space="preserve"> </w:t>
      </w:r>
      <w:r w:rsidRPr="00A57D56">
        <w:rPr>
          <w:lang w:val="en-AU"/>
        </w:rPr>
        <w:t xml:space="preserve">the </w:t>
      </w:r>
      <w:hyperlink r:id="rId16" w:history="1">
        <w:r w:rsidRPr="00D21B74">
          <w:rPr>
            <w:rStyle w:val="Hyperlink"/>
            <w:lang w:val="en-AU"/>
          </w:rPr>
          <w:t>NDIS Pric</w:t>
        </w:r>
        <w:r w:rsidR="005C2087" w:rsidRPr="00D21B74">
          <w:rPr>
            <w:rStyle w:val="Hyperlink"/>
            <w:lang w:val="en-AU"/>
          </w:rPr>
          <w:t>ing</w:t>
        </w:r>
        <w:r w:rsidRPr="00D21B74">
          <w:rPr>
            <w:rStyle w:val="Hyperlink"/>
            <w:lang w:val="en-AU"/>
          </w:rPr>
          <w:t xml:space="preserve"> </w:t>
        </w:r>
        <w:r w:rsidR="00D21B74" w:rsidRPr="00D21B74">
          <w:rPr>
            <w:rStyle w:val="Hyperlink"/>
            <w:lang w:val="en-AU"/>
          </w:rPr>
          <w:t>Arrangements and Price Limits</w:t>
        </w:r>
      </w:hyperlink>
      <w:r w:rsidRPr="00A57D56">
        <w:rPr>
          <w:lang w:val="en-AU"/>
        </w:rPr>
        <w:t xml:space="preserve">. Some further items </w:t>
      </w:r>
      <w:r w:rsidR="00E306DF">
        <w:t xml:space="preserve">– </w:t>
      </w:r>
      <w:r w:rsidRPr="00A57D56">
        <w:rPr>
          <w:lang w:val="en-AU"/>
        </w:rPr>
        <w:t xml:space="preserve">such as adaptive clothing, assistance with maintaining employment, and menstrual products </w:t>
      </w:r>
      <w:r w:rsidR="00C40553">
        <w:t xml:space="preserve">– </w:t>
      </w:r>
      <w:r w:rsidRPr="00A57D56">
        <w:rPr>
          <w:lang w:val="en-AU"/>
        </w:rPr>
        <w:t xml:space="preserve">were added to the lists following feedback from the disability community.  </w:t>
      </w:r>
    </w:p>
    <w:p w14:paraId="069387C8" w14:textId="42E6B892" w:rsidR="00222831" w:rsidRPr="00222831" w:rsidRDefault="00A57D56" w:rsidP="00A57D56">
      <w:r w:rsidRPr="7552CBA0">
        <w:t xml:space="preserve">The Transitional Supports Rules also provide for ‘replacement support determinations’, which </w:t>
      </w:r>
      <w:r w:rsidR="005F7C3C">
        <w:t>can</w:t>
      </w:r>
      <w:r w:rsidRPr="7552CBA0" w:rsidDel="005738C9">
        <w:t xml:space="preserve"> </w:t>
      </w:r>
      <w:r w:rsidR="005738C9">
        <w:t>allow</w:t>
      </w:r>
      <w:r w:rsidR="005738C9" w:rsidRPr="7552CBA0">
        <w:t xml:space="preserve"> </w:t>
      </w:r>
      <w:r w:rsidRPr="7552CBA0">
        <w:t xml:space="preserve">participants to use NDIS funds to access standard commercially-available household items </w:t>
      </w:r>
      <w:r w:rsidR="00AC544F">
        <w:t xml:space="preserve">(eg </w:t>
      </w:r>
      <w:r w:rsidR="00F5529D">
        <w:t xml:space="preserve">a </w:t>
      </w:r>
      <w:r w:rsidR="00AC544F">
        <w:t xml:space="preserve">blender) </w:t>
      </w:r>
      <w:r w:rsidRPr="7552CBA0">
        <w:t xml:space="preserve">or specified electronics </w:t>
      </w:r>
      <w:r w:rsidR="00B167AF">
        <w:t xml:space="preserve">(eg </w:t>
      </w:r>
      <w:r w:rsidR="00EA3847">
        <w:t xml:space="preserve">a </w:t>
      </w:r>
      <w:r w:rsidR="00B167AF">
        <w:t>smart watch</w:t>
      </w:r>
      <w:r w:rsidR="0033554E">
        <w:t xml:space="preserve">) </w:t>
      </w:r>
      <w:r w:rsidRPr="7552CBA0">
        <w:t xml:space="preserve">in certain circumstances. The requirements for claiming </w:t>
      </w:r>
      <w:r w:rsidR="00F4382B">
        <w:t>these kinds of</w:t>
      </w:r>
      <w:r w:rsidRPr="7552CBA0">
        <w:t xml:space="preserve"> items include that the </w:t>
      </w:r>
      <w:r w:rsidR="00B61F96">
        <w:t>item</w:t>
      </w:r>
      <w:r w:rsidR="00B61F96" w:rsidRPr="7552CBA0">
        <w:t xml:space="preserve"> </w:t>
      </w:r>
      <w:r w:rsidRPr="7552CBA0">
        <w:t xml:space="preserve">replaces one (or more) of </w:t>
      </w:r>
      <w:r w:rsidRPr="7552CBA0">
        <w:lastRenderedPageBreak/>
        <w:t xml:space="preserve">the participant’s NDIS supports; it costs the same as or less than the NDIS support; and it would provide </w:t>
      </w:r>
      <w:r w:rsidR="00307738">
        <w:t xml:space="preserve">an outcome </w:t>
      </w:r>
      <w:r w:rsidRPr="7552CBA0">
        <w:t>the same</w:t>
      </w:r>
      <w:r w:rsidR="00307738">
        <w:t xml:space="preserve"> as</w:t>
      </w:r>
      <w:r w:rsidRPr="7552CBA0">
        <w:t xml:space="preserve"> or better than the NDIS support</w:t>
      </w:r>
      <w:r w:rsidR="00061511">
        <w:t xml:space="preserve"> would provide</w:t>
      </w:r>
      <w:r w:rsidRPr="7552CBA0">
        <w:t xml:space="preserve">.  </w:t>
      </w:r>
    </w:p>
    <w:p w14:paraId="1D3C5A6E" w14:textId="56602F2C" w:rsidR="00BD2887" w:rsidRDefault="00BD2887" w:rsidP="00BD2887">
      <w:pPr>
        <w:pStyle w:val="NumberedHeading2"/>
      </w:pPr>
      <w:bookmarkStart w:id="15" w:name="_Toc190427212"/>
      <w:r>
        <w:t>What is excluded?</w:t>
      </w:r>
      <w:bookmarkEnd w:id="15"/>
    </w:p>
    <w:p w14:paraId="381251A5" w14:textId="652A342E" w:rsidR="00BD2887" w:rsidRDefault="00EA6882" w:rsidP="00BD2887">
      <w:pPr>
        <w:rPr>
          <w:lang w:val="en-AU"/>
        </w:rPr>
      </w:pPr>
      <w:r w:rsidRPr="00EA6882">
        <w:rPr>
          <w:lang w:val="en-AU"/>
        </w:rPr>
        <w:t xml:space="preserve">The Transitional Supports Rules contain a list of things that are not NDIS supports, and so cannot be purchased with NDIS funds. There are 24 </w:t>
      </w:r>
      <w:r w:rsidR="00223518">
        <w:rPr>
          <w:lang w:val="en-AU"/>
        </w:rPr>
        <w:t>categories</w:t>
      </w:r>
      <w:r w:rsidR="00223518" w:rsidRPr="00EA6882">
        <w:rPr>
          <w:lang w:val="en-AU"/>
        </w:rPr>
        <w:t xml:space="preserve"> </w:t>
      </w:r>
      <w:r w:rsidRPr="00EA6882">
        <w:rPr>
          <w:lang w:val="en-AU"/>
        </w:rPr>
        <w:t xml:space="preserve">in this ‘exclusion’ list. Eight of these </w:t>
      </w:r>
      <w:r w:rsidR="00582A41">
        <w:rPr>
          <w:lang w:val="en-AU"/>
        </w:rPr>
        <w:t>categories are described as</w:t>
      </w:r>
      <w:r w:rsidRPr="00EA6882">
        <w:rPr>
          <w:lang w:val="en-AU"/>
        </w:rPr>
        <w:t xml:space="preserve"> ‘day-to-day living costs’, meaning that most everyday costs cannot be claimed from the NDIS, such as rent, groceries</w:t>
      </w:r>
      <w:r w:rsidR="005B2F52">
        <w:rPr>
          <w:lang w:val="en-AU"/>
        </w:rPr>
        <w:t>,</w:t>
      </w:r>
      <w:r w:rsidRPr="00EA6882">
        <w:rPr>
          <w:lang w:val="en-AU"/>
        </w:rPr>
        <w:t xml:space="preserve"> and standard clothing and footwear</w:t>
      </w:r>
      <w:r w:rsidR="00816704">
        <w:rPr>
          <w:lang w:val="en-AU"/>
        </w:rPr>
        <w:t xml:space="preserve"> purchases</w:t>
      </w:r>
      <w:r w:rsidRPr="00EA6882">
        <w:rPr>
          <w:lang w:val="en-AU"/>
        </w:rPr>
        <w:t xml:space="preserve">. The Transitional Supports Rules also exclude therapies deemed to be ‘not evidence based’, wellness and coaching, and energy and healing practices, which include reflexology, life coaches, career coaches and several other alternative forms of rehabilitation and treatment.  </w:t>
      </w:r>
    </w:p>
    <w:p w14:paraId="5F6C74BA" w14:textId="77777777" w:rsidR="00CA491D" w:rsidRDefault="00757D48" w:rsidP="00A50913">
      <w:r>
        <w:t>While many of the items on this exclusion list would generally not have been funded by the NDIS previously, some significant items the NDIS did fund for at least some participants have now been excluded.</w:t>
      </w:r>
      <w:r w:rsidR="00A50913">
        <w:t xml:space="preserve"> </w:t>
      </w:r>
    </w:p>
    <w:p w14:paraId="31E54F88" w14:textId="489E419B" w:rsidR="00A50913" w:rsidRDefault="00A50913" w:rsidP="00A50913">
      <w:r>
        <w:t xml:space="preserve">The disability community and its representatives have raised serious concerns these lists will unduly restrict the range of supports NDIS participants can access, leading to worse outcomes for people with disability </w:t>
      </w:r>
      <w:r w:rsidR="00AF5BD1">
        <w:t>and</w:t>
      </w:r>
      <w:r>
        <w:t xml:space="preserve"> inefficient use of Scheme funds. The Transitional Supports Rules have also been criticised for being unclear, difficult to interpret, and </w:t>
      </w:r>
      <w:r w:rsidR="00394898">
        <w:t xml:space="preserve">for </w:t>
      </w:r>
      <w:r>
        <w:t xml:space="preserve">emphasising ‘specialised’ supports designed for people with disability rather than mainstream goods and services that might be used creatively by people with disability to meet their needs. The permanent rule will need to be developed through a comprehensive co-design process to avoid replicating these problems. </w:t>
      </w:r>
    </w:p>
    <w:p w14:paraId="4528E4CE" w14:textId="10E8AFD4" w:rsidR="00A50913" w:rsidRDefault="009B67EE" w:rsidP="00A50913">
      <w:r>
        <w:t>The</w:t>
      </w:r>
      <w:r w:rsidR="00A50913">
        <w:t xml:space="preserve"> NDIS Act now explicitly states that alcohol, illegal drugs and sexual services are not NDIS supports. In response to the initial proposal to exclude sexual services from </w:t>
      </w:r>
      <w:r w:rsidR="006E2A4F">
        <w:t>being funded under the</w:t>
      </w:r>
      <w:r w:rsidR="0070648A">
        <w:t xml:space="preserve"> </w:t>
      </w:r>
      <w:r w:rsidR="00A50913">
        <w:t xml:space="preserve">NDIS, a </w:t>
      </w:r>
      <w:hyperlink r:id="rId17" w:history="1">
        <w:r w:rsidR="008D26DC" w:rsidRPr="00216EB4">
          <w:rPr>
            <w:rStyle w:val="Hyperlink"/>
          </w:rPr>
          <w:t>joint statement</w:t>
        </w:r>
      </w:hyperlink>
      <w:r w:rsidR="008D26DC">
        <w:t xml:space="preserve"> by 10 </w:t>
      </w:r>
      <w:r w:rsidR="00A50913">
        <w:t>organisations</w:t>
      </w:r>
      <w:r w:rsidR="008D26DC">
        <w:t xml:space="preserve"> in July 2024</w:t>
      </w:r>
      <w:r w:rsidR="00A50913">
        <w:t xml:space="preserve"> call</w:t>
      </w:r>
      <w:r w:rsidR="008D26DC">
        <w:t>ed</w:t>
      </w:r>
      <w:r w:rsidR="00A50913">
        <w:t xml:space="preserve"> for sexual services to remain</w:t>
      </w:r>
      <w:r w:rsidR="00E77CA1">
        <w:t>, stating</w:t>
      </w:r>
      <w:r w:rsidR="00A50913">
        <w:t>:</w:t>
      </w:r>
    </w:p>
    <w:p w14:paraId="4CDE88DA" w14:textId="0DC97428" w:rsidR="00A50913" w:rsidRPr="00A50913" w:rsidRDefault="00A50913" w:rsidP="00A50913">
      <w:pPr>
        <w:pStyle w:val="Quote"/>
      </w:pPr>
      <w:r w:rsidRPr="00A50913">
        <w:t>The exclusion of sexuality and sex work services from the NDIS would undermine the fundamental human rights and the choice, control and access of people with disability to essential supports that enable full participation in all aspects of life…</w:t>
      </w:r>
    </w:p>
    <w:p w14:paraId="1035011E" w14:textId="0479ED2A" w:rsidR="00A50913" w:rsidRPr="00A50913" w:rsidRDefault="00A50913" w:rsidP="00A50913">
      <w:pPr>
        <w:pStyle w:val="Quote"/>
      </w:pPr>
      <w:r w:rsidRPr="00A50913">
        <w:t xml:space="preserve">Sexual supports are critical to the well-being of people with disability… [and] are reasonable and necessary supports that contribute to our holistic health and quality of life.  </w:t>
      </w:r>
    </w:p>
    <w:p w14:paraId="7888753D" w14:textId="1D00F224" w:rsidR="00EA6882" w:rsidRDefault="00A50913" w:rsidP="00A50913">
      <w:r>
        <w:t xml:space="preserve">In August 2024, 38 disability and allied health organisations and services in Australia signed a </w:t>
      </w:r>
      <w:hyperlink r:id="rId18" w:history="1">
        <w:r w:rsidRPr="00450E31">
          <w:rPr>
            <w:rStyle w:val="Hyperlink"/>
          </w:rPr>
          <w:t>position statement</w:t>
        </w:r>
      </w:hyperlink>
      <w:r>
        <w:t xml:space="preserve"> reiterating </w:t>
      </w:r>
      <w:r w:rsidR="00A71020">
        <w:t>this</w:t>
      </w:r>
      <w:r>
        <w:t xml:space="preserve"> position</w:t>
      </w:r>
      <w:r w:rsidR="00B750F2">
        <w:t>.</w:t>
      </w:r>
      <w:r>
        <w:t xml:space="preserve"> </w:t>
      </w:r>
      <w:r w:rsidR="00A31D19">
        <w:t xml:space="preserve">It </w:t>
      </w:r>
      <w:r>
        <w:t>strongly oppos</w:t>
      </w:r>
      <w:r w:rsidR="00A31D19">
        <w:t>ed</w:t>
      </w:r>
      <w:r>
        <w:t xml:space="preserve"> reform which would exclude services relating to sexuality supports and call</w:t>
      </w:r>
      <w:r w:rsidR="00A31D19">
        <w:t>ed</w:t>
      </w:r>
      <w:r>
        <w:t xml:space="preserve"> on the Minister to co-design a comprehensive sexuality policy.</w:t>
      </w:r>
      <w:r w:rsidR="00270C03">
        <w:t xml:space="preserve"> </w:t>
      </w:r>
      <w:r w:rsidR="00570538">
        <w:t>Th</w:t>
      </w:r>
      <w:r w:rsidR="007D7AE5">
        <w:t xml:space="preserve">e Government’s position </w:t>
      </w:r>
      <w:r w:rsidR="009A5C0F">
        <w:t xml:space="preserve">has not </w:t>
      </w:r>
      <w:r w:rsidR="00E77CA1">
        <w:t>changed,</w:t>
      </w:r>
      <w:r w:rsidR="009A5C0F">
        <w:t xml:space="preserve"> and sexual</w:t>
      </w:r>
      <w:r w:rsidR="00614BF3">
        <w:t xml:space="preserve"> services remain excluded</w:t>
      </w:r>
      <w:r w:rsidR="00570538">
        <w:t>.</w:t>
      </w:r>
    </w:p>
    <w:p w14:paraId="77F34B45" w14:textId="6F74C24D" w:rsidR="00A50913" w:rsidRDefault="00A50913" w:rsidP="00A50913">
      <w:pPr>
        <w:pStyle w:val="NumberedHeading2"/>
      </w:pPr>
      <w:bookmarkStart w:id="16" w:name="_Toc190427213"/>
      <w:r>
        <w:t>What happens if NDIS funds are spent on a non-approved support?</w:t>
      </w:r>
      <w:bookmarkEnd w:id="16"/>
      <w:r>
        <w:t xml:space="preserve"> </w:t>
      </w:r>
    </w:p>
    <w:p w14:paraId="6430A261" w14:textId="7284A9E6" w:rsidR="008B3FC4" w:rsidRPr="008B3FC4" w:rsidRDefault="00CA2B5A" w:rsidP="008B3FC4">
      <w:pPr>
        <w:rPr>
          <w:lang w:val="en-AU"/>
        </w:rPr>
      </w:pPr>
      <w:r>
        <w:rPr>
          <w:lang w:val="en-AU"/>
        </w:rPr>
        <w:t xml:space="preserve">Prior to the </w:t>
      </w:r>
      <w:r w:rsidR="004C5D4E">
        <w:rPr>
          <w:lang w:val="en-AU"/>
        </w:rPr>
        <w:t xml:space="preserve">publication of the new </w:t>
      </w:r>
      <w:r w:rsidR="00AD080B">
        <w:rPr>
          <w:lang w:val="en-AU"/>
        </w:rPr>
        <w:t xml:space="preserve">NDIS supports </w:t>
      </w:r>
      <w:r w:rsidR="004C5D4E">
        <w:rPr>
          <w:lang w:val="en-AU"/>
        </w:rPr>
        <w:t>lists, stakeholder</w:t>
      </w:r>
      <w:r w:rsidR="00DE3E7D">
        <w:rPr>
          <w:lang w:val="en-AU"/>
        </w:rPr>
        <w:t>s</w:t>
      </w:r>
      <w:r w:rsidR="004C5D4E">
        <w:rPr>
          <w:lang w:val="en-AU"/>
        </w:rPr>
        <w:t xml:space="preserve"> raised </w:t>
      </w:r>
      <w:r w:rsidR="002974B7">
        <w:rPr>
          <w:lang w:val="en-AU"/>
        </w:rPr>
        <w:t>c</w:t>
      </w:r>
      <w:r w:rsidR="008B3FC4" w:rsidRPr="008B3FC4">
        <w:rPr>
          <w:lang w:val="en-AU"/>
        </w:rPr>
        <w:t xml:space="preserve">oncerns </w:t>
      </w:r>
      <w:r w:rsidR="00DE598A">
        <w:rPr>
          <w:lang w:val="en-AU"/>
        </w:rPr>
        <w:t>there was</w:t>
      </w:r>
      <w:r w:rsidR="008B3FC4" w:rsidRPr="008B3FC4">
        <w:rPr>
          <w:lang w:val="en-AU"/>
        </w:rPr>
        <w:t xml:space="preserve"> not enough time to understand </w:t>
      </w:r>
      <w:r w:rsidR="00CE535F">
        <w:rPr>
          <w:lang w:val="en-AU"/>
        </w:rPr>
        <w:t>what would be funded</w:t>
      </w:r>
      <w:r w:rsidR="008B3FC4" w:rsidRPr="008B3FC4">
        <w:rPr>
          <w:lang w:val="en-AU"/>
        </w:rPr>
        <w:t xml:space="preserve"> and that participants </w:t>
      </w:r>
      <w:r w:rsidR="00552144">
        <w:rPr>
          <w:lang w:val="en-AU"/>
        </w:rPr>
        <w:t>would</w:t>
      </w:r>
      <w:r w:rsidR="008B3FC4" w:rsidRPr="008B3FC4">
        <w:rPr>
          <w:lang w:val="en-AU"/>
        </w:rPr>
        <w:t xml:space="preserve"> incur debts </w:t>
      </w:r>
      <w:proofErr w:type="gramStart"/>
      <w:r w:rsidR="008B3FC4" w:rsidRPr="008B3FC4">
        <w:rPr>
          <w:lang w:val="en-AU"/>
        </w:rPr>
        <w:t>as a result of</w:t>
      </w:r>
      <w:proofErr w:type="gramEnd"/>
      <w:r w:rsidR="008B3FC4" w:rsidRPr="008B3FC4">
        <w:rPr>
          <w:lang w:val="en-AU"/>
        </w:rPr>
        <w:t xml:space="preserve"> accidentally purchasing non-NDIS supports. In response, the NDIA has said </w:t>
      </w:r>
      <w:r w:rsidR="0003422C">
        <w:rPr>
          <w:lang w:val="en-AU"/>
        </w:rPr>
        <w:t>claiming</w:t>
      </w:r>
      <w:r w:rsidR="00083648">
        <w:rPr>
          <w:lang w:val="en-AU"/>
        </w:rPr>
        <w:t xml:space="preserve"> </w:t>
      </w:r>
      <w:r w:rsidR="00083648">
        <w:rPr>
          <w:lang w:val="en-AU"/>
        </w:rPr>
        <w:lastRenderedPageBreak/>
        <w:t xml:space="preserve">a </w:t>
      </w:r>
      <w:r w:rsidR="008B3FC4" w:rsidRPr="008B3FC4">
        <w:rPr>
          <w:lang w:val="en-AU"/>
        </w:rPr>
        <w:t>debt</w:t>
      </w:r>
      <w:r w:rsidR="00885921">
        <w:rPr>
          <w:lang w:val="en-AU"/>
        </w:rPr>
        <w:t xml:space="preserve"> </w:t>
      </w:r>
      <w:r w:rsidR="00470CC9">
        <w:rPr>
          <w:lang w:val="en-AU"/>
        </w:rPr>
        <w:t>from</w:t>
      </w:r>
      <w:r w:rsidR="00885921">
        <w:rPr>
          <w:lang w:val="en-AU"/>
        </w:rPr>
        <w:t xml:space="preserve"> a participant</w:t>
      </w:r>
      <w:r w:rsidR="008B3FC4" w:rsidRPr="008B3FC4">
        <w:rPr>
          <w:lang w:val="en-AU"/>
        </w:rPr>
        <w:t xml:space="preserve"> ‘would be an absolute last resort and such a decision would never be automated, rather it would not proceed without thoughtful consideration at the most senior level of the Agency’.  </w:t>
      </w:r>
    </w:p>
    <w:p w14:paraId="38D25B80" w14:textId="63301084" w:rsidR="008B3FC4" w:rsidRPr="008B3FC4" w:rsidRDefault="008B3FC4" w:rsidP="008B3FC4">
      <w:r w:rsidRPr="7552CBA0">
        <w:t xml:space="preserve">Transitional measures have also been introduced to limit unfair consequences for participants. Participants who spend NDIS </w:t>
      </w:r>
      <w:r w:rsidR="003B6884">
        <w:t>funds</w:t>
      </w:r>
      <w:r w:rsidR="003B6884" w:rsidRPr="7552CBA0">
        <w:t xml:space="preserve"> </w:t>
      </w:r>
      <w:r w:rsidRPr="7552CBA0">
        <w:t xml:space="preserve">on </w:t>
      </w:r>
      <w:r w:rsidR="00D13FE8">
        <w:t>items</w:t>
      </w:r>
      <w:r w:rsidR="00D13FE8" w:rsidRPr="7552CBA0">
        <w:t xml:space="preserve"> </w:t>
      </w:r>
      <w:r w:rsidR="00667381">
        <w:t>not on</w:t>
      </w:r>
      <w:r w:rsidR="00FA202A">
        <w:t xml:space="preserve"> the NDIS supports list</w:t>
      </w:r>
      <w:r w:rsidRPr="7552CBA0">
        <w:t xml:space="preserve">, without otherwise receiving approval to do so, will owe a debt to the NDIA. However, up until 3 October 2025, participants who mistakenly claim items which are not NDIS </w:t>
      </w:r>
      <w:r w:rsidR="00D434A6">
        <w:t>supports</w:t>
      </w:r>
      <w:r w:rsidRPr="7552CBA0">
        <w:t xml:space="preserve"> will not have a debt raised against them for their first two mistakes</w:t>
      </w:r>
      <w:r w:rsidR="008C1D93">
        <w:t>,</w:t>
      </w:r>
      <w:r w:rsidRPr="7552CBA0">
        <w:t xml:space="preserve"> where the supports are worth less than $1,500. This transitional period functions in addition to existing provisions in the NDIS Act</w:t>
      </w:r>
      <w:r w:rsidR="005D1293" w:rsidRPr="7552CBA0">
        <w:t xml:space="preserve"> </w:t>
      </w:r>
      <w:r w:rsidR="00182353">
        <w:t>that</w:t>
      </w:r>
      <w:r w:rsidR="005D1293" w:rsidRPr="7552CBA0">
        <w:t xml:space="preserve"> allow the NDIA to waive debts</w:t>
      </w:r>
      <w:r w:rsidRPr="7552CBA0">
        <w:t xml:space="preserve">.  </w:t>
      </w:r>
    </w:p>
    <w:p w14:paraId="08D38161" w14:textId="07281012" w:rsidR="00A50913" w:rsidRDefault="008B3FC4" w:rsidP="008B3FC4">
      <w:pPr>
        <w:rPr>
          <w:lang w:val="en-AU"/>
        </w:rPr>
      </w:pPr>
      <w:r w:rsidRPr="008B3FC4">
        <w:rPr>
          <w:lang w:val="en-AU"/>
        </w:rPr>
        <w:t xml:space="preserve">Additionally, supports </w:t>
      </w:r>
      <w:r w:rsidR="006767DE">
        <w:rPr>
          <w:lang w:val="en-AU"/>
        </w:rPr>
        <w:t>that</w:t>
      </w:r>
      <w:r w:rsidR="006767DE" w:rsidRPr="008B3FC4">
        <w:rPr>
          <w:lang w:val="en-AU"/>
        </w:rPr>
        <w:t xml:space="preserve"> </w:t>
      </w:r>
      <w:r w:rsidRPr="008B3FC4">
        <w:rPr>
          <w:lang w:val="en-AU"/>
        </w:rPr>
        <w:t>are no longer NDIS supports but had previously been expressly listed in a participant’s plan, or included in their plan following a decision of the Administrative Appeals Tribunal</w:t>
      </w:r>
      <w:r w:rsidR="007A7CDC">
        <w:rPr>
          <w:lang w:val="en-AU"/>
        </w:rPr>
        <w:t>,</w:t>
      </w:r>
      <w:r w:rsidRPr="008B3FC4">
        <w:rPr>
          <w:lang w:val="en-AU"/>
        </w:rPr>
        <w:t xml:space="preserve"> can still be purchased for the duration of that plan.</w:t>
      </w:r>
    </w:p>
    <w:p w14:paraId="507A3148" w14:textId="3A1A6A5B" w:rsidR="008B3FC4" w:rsidRDefault="008B3FC4" w:rsidP="008B3FC4">
      <w:pPr>
        <w:pStyle w:val="NumberedHeading1"/>
        <w:rPr>
          <w:lang w:val="en-AU"/>
        </w:rPr>
      </w:pPr>
      <w:bookmarkStart w:id="17" w:name="_Toc190427214"/>
      <w:r>
        <w:rPr>
          <w:lang w:val="en-AU"/>
        </w:rPr>
        <w:t>Foundational supports</w:t>
      </w:r>
      <w:bookmarkEnd w:id="17"/>
    </w:p>
    <w:p w14:paraId="7F8D9671" w14:textId="57FCB4B0" w:rsidR="00A55D9C" w:rsidRDefault="00A55D9C" w:rsidP="00A55D9C">
      <w:r>
        <w:t xml:space="preserve">As covered in our </w:t>
      </w:r>
      <w:hyperlink r:id="rId19" w:history="1">
        <w:r>
          <w:rPr>
            <w:rStyle w:val="Hyperlink"/>
          </w:rPr>
          <w:t>NDIS Insights 2023-24</w:t>
        </w:r>
      </w:hyperlink>
      <w:r>
        <w:t xml:space="preserve">, the NDIS Review recommended the </w:t>
      </w:r>
      <w:r w:rsidR="001D5E3D">
        <w:t>Commonwealth</w:t>
      </w:r>
      <w:r>
        <w:t>, State and Territory Governments work together to provide both general and targeted foundational supports</w:t>
      </w:r>
      <w:r w:rsidR="00A95647">
        <w:t xml:space="preserve"> for people with disability</w:t>
      </w:r>
      <w:r>
        <w:t>. In December 2023, N</w:t>
      </w:r>
      <w:r w:rsidRPr="0086568F">
        <w:t>ational Cabinet</w:t>
      </w:r>
      <w:r>
        <w:t xml:space="preserve"> </w:t>
      </w:r>
      <w:r w:rsidR="00654B2E">
        <w:t>agreed foundational supports would be</w:t>
      </w:r>
      <w:r w:rsidRPr="0086568F">
        <w:t xml:space="preserve"> jointly fund</w:t>
      </w:r>
      <w:r w:rsidR="00E95919">
        <w:t>ed</w:t>
      </w:r>
      <w:r w:rsidRPr="0086568F">
        <w:t xml:space="preserve"> and co-design</w:t>
      </w:r>
      <w:r w:rsidR="00E95919">
        <w:t>ed</w:t>
      </w:r>
      <w:r w:rsidRPr="0086568F">
        <w:t xml:space="preserve"> </w:t>
      </w:r>
      <w:r w:rsidR="00507B0E">
        <w:t xml:space="preserve">by </w:t>
      </w:r>
      <w:r w:rsidR="00DE22BD">
        <w:t xml:space="preserve">the </w:t>
      </w:r>
      <w:r w:rsidR="001400F2">
        <w:t>Commonwealth</w:t>
      </w:r>
      <w:r w:rsidR="00507B0E">
        <w:t>,</w:t>
      </w:r>
      <w:r>
        <w:t xml:space="preserve"> State</w:t>
      </w:r>
      <w:r w:rsidR="00122D35">
        <w:t>s</w:t>
      </w:r>
      <w:r w:rsidR="007F5928">
        <w:t xml:space="preserve"> and </w:t>
      </w:r>
      <w:r w:rsidR="00122D35">
        <w:t>Territories</w:t>
      </w:r>
      <w:r>
        <w:t>.</w:t>
      </w:r>
    </w:p>
    <w:p w14:paraId="480244F2" w14:textId="4C0D1C7D" w:rsidR="00C331C0" w:rsidRPr="008C0DF3" w:rsidRDefault="00C331C0" w:rsidP="00C331C0">
      <w:pPr>
        <w:rPr>
          <w:lang w:val="en-AU"/>
        </w:rPr>
      </w:pPr>
      <w:r w:rsidRPr="008C0DF3">
        <w:rPr>
          <w:lang w:val="en-AU"/>
        </w:rPr>
        <w:t xml:space="preserve">Foundational supports are intended to provide support </w:t>
      </w:r>
      <w:r>
        <w:rPr>
          <w:lang w:val="en-AU"/>
        </w:rPr>
        <w:t xml:space="preserve">outside of the NDIS </w:t>
      </w:r>
      <w:r w:rsidRPr="008C0DF3">
        <w:rPr>
          <w:lang w:val="en-AU"/>
        </w:rPr>
        <w:t>for people with disabilit</w:t>
      </w:r>
      <w:r>
        <w:rPr>
          <w:lang w:val="en-AU"/>
        </w:rPr>
        <w:t>y</w:t>
      </w:r>
      <w:r w:rsidRPr="008C0DF3">
        <w:rPr>
          <w:lang w:val="en-AU"/>
        </w:rPr>
        <w:t xml:space="preserve"> </w:t>
      </w:r>
      <w:r>
        <w:rPr>
          <w:lang w:val="en-AU"/>
        </w:rPr>
        <w:t xml:space="preserve">and be </w:t>
      </w:r>
      <w:r w:rsidRPr="008C0DF3">
        <w:rPr>
          <w:lang w:val="en-AU"/>
        </w:rPr>
        <w:t xml:space="preserve">integrated into general </w:t>
      </w:r>
      <w:r>
        <w:rPr>
          <w:lang w:val="en-AU"/>
        </w:rPr>
        <w:t>state and territory</w:t>
      </w:r>
      <w:r w:rsidRPr="008C0DF3">
        <w:rPr>
          <w:lang w:val="en-AU"/>
        </w:rPr>
        <w:t xml:space="preserve"> government services</w:t>
      </w:r>
      <w:r>
        <w:rPr>
          <w:lang w:val="en-AU"/>
        </w:rPr>
        <w:t>,</w:t>
      </w:r>
      <w:r w:rsidRPr="008C0DF3">
        <w:rPr>
          <w:lang w:val="en-AU"/>
        </w:rPr>
        <w:t xml:space="preserve"> like education.  </w:t>
      </w:r>
    </w:p>
    <w:p w14:paraId="1A1BE503" w14:textId="5B5ECE3C" w:rsidR="00C331C0" w:rsidRDefault="00C331C0" w:rsidP="00C331C0">
      <w:pPr>
        <w:rPr>
          <w:lang w:val="en-AU"/>
        </w:rPr>
      </w:pPr>
      <w:r w:rsidRPr="008C0DF3">
        <w:rPr>
          <w:b/>
          <w:bCs/>
          <w:lang w:val="en-AU"/>
        </w:rPr>
        <w:t>General supports</w:t>
      </w:r>
      <w:r w:rsidRPr="008C0DF3">
        <w:rPr>
          <w:lang w:val="en-AU"/>
        </w:rPr>
        <w:t xml:space="preserve"> will be available to all </w:t>
      </w:r>
      <w:r w:rsidR="00FA79DF">
        <w:rPr>
          <w:lang w:val="en-AU"/>
        </w:rPr>
        <w:t>people</w:t>
      </w:r>
      <w:r w:rsidRPr="008C0DF3">
        <w:rPr>
          <w:lang w:val="en-AU"/>
        </w:rPr>
        <w:t xml:space="preserve"> with disabilities under 65 years of age and, in some circumstances, their family and carers. The three streams for general supports are for: </w:t>
      </w:r>
    </w:p>
    <w:p w14:paraId="3B2D698D" w14:textId="77777777" w:rsidR="00C331C0" w:rsidRDefault="00C331C0" w:rsidP="00C331C0">
      <w:pPr>
        <w:pStyle w:val="ListParagraph"/>
        <w:numPr>
          <w:ilvl w:val="0"/>
          <w:numId w:val="39"/>
        </w:numPr>
        <w:rPr>
          <w:lang w:val="en-AU"/>
        </w:rPr>
      </w:pPr>
      <w:r w:rsidRPr="008C0DF3">
        <w:rPr>
          <w:lang w:val="en-AU"/>
        </w:rPr>
        <w:t>individuals</w:t>
      </w:r>
      <w:r>
        <w:rPr>
          <w:lang w:val="en-AU"/>
        </w:rPr>
        <w:t>:</w:t>
      </w:r>
      <w:r w:rsidRPr="008C0DF3">
        <w:rPr>
          <w:lang w:val="en-AU"/>
        </w:rPr>
        <w:t xml:space="preserve"> to support autonomy and self-advocacy; </w:t>
      </w:r>
    </w:p>
    <w:p w14:paraId="5837084F" w14:textId="77777777" w:rsidR="00C331C0" w:rsidRDefault="00C331C0" w:rsidP="00C331C0">
      <w:pPr>
        <w:pStyle w:val="ListParagraph"/>
        <w:numPr>
          <w:ilvl w:val="0"/>
          <w:numId w:val="39"/>
        </w:numPr>
        <w:rPr>
          <w:lang w:val="en-AU"/>
        </w:rPr>
      </w:pPr>
      <w:r w:rsidRPr="008C0DF3">
        <w:rPr>
          <w:lang w:val="en-AU"/>
        </w:rPr>
        <w:t>families</w:t>
      </w:r>
      <w:r>
        <w:rPr>
          <w:lang w:val="en-AU"/>
        </w:rPr>
        <w:t>:</w:t>
      </w:r>
      <w:r w:rsidRPr="008C0DF3">
        <w:rPr>
          <w:lang w:val="en-AU"/>
        </w:rPr>
        <w:t xml:space="preserve"> to support them to empower the independenc</w:t>
      </w:r>
      <w:r>
        <w:rPr>
          <w:lang w:val="en-AU"/>
        </w:rPr>
        <w:t>e</w:t>
      </w:r>
      <w:r w:rsidRPr="008C0DF3">
        <w:rPr>
          <w:lang w:val="en-AU"/>
        </w:rPr>
        <w:t xml:space="preserve"> of </w:t>
      </w:r>
      <w:r>
        <w:rPr>
          <w:lang w:val="en-AU"/>
        </w:rPr>
        <w:t>family members with disability</w:t>
      </w:r>
      <w:r w:rsidRPr="008C0DF3">
        <w:rPr>
          <w:lang w:val="en-AU"/>
        </w:rPr>
        <w:t>; and</w:t>
      </w:r>
    </w:p>
    <w:p w14:paraId="5246A07B" w14:textId="77777777" w:rsidR="00C331C0" w:rsidRPr="008C0DF3" w:rsidRDefault="00C331C0" w:rsidP="00C331C0">
      <w:pPr>
        <w:pStyle w:val="ListParagraph"/>
        <w:numPr>
          <w:ilvl w:val="0"/>
          <w:numId w:val="39"/>
        </w:numPr>
        <w:rPr>
          <w:lang w:val="en-AU"/>
        </w:rPr>
      </w:pPr>
      <w:r w:rsidRPr="008C0DF3">
        <w:rPr>
          <w:lang w:val="en-AU"/>
        </w:rPr>
        <w:t>communities</w:t>
      </w:r>
      <w:r>
        <w:rPr>
          <w:lang w:val="en-AU"/>
        </w:rPr>
        <w:t>:</w:t>
      </w:r>
      <w:r w:rsidRPr="008C0DF3">
        <w:rPr>
          <w:lang w:val="en-AU"/>
        </w:rPr>
        <w:t xml:space="preserve"> to ensure accessibility.  </w:t>
      </w:r>
    </w:p>
    <w:p w14:paraId="300242B2" w14:textId="3D028E35" w:rsidR="00C331C0" w:rsidRPr="00C27A59" w:rsidRDefault="00C331C0" w:rsidP="00A55D9C">
      <w:pPr>
        <w:rPr>
          <w:lang w:val="en-AU"/>
        </w:rPr>
      </w:pPr>
      <w:r w:rsidRPr="008C0DF3">
        <w:rPr>
          <w:b/>
          <w:bCs/>
          <w:lang w:val="en-AU"/>
        </w:rPr>
        <w:t>Targeted supports</w:t>
      </w:r>
      <w:r w:rsidRPr="008C0DF3">
        <w:rPr>
          <w:lang w:val="en-AU"/>
        </w:rPr>
        <w:t xml:space="preserve"> will only be available to people with disability who are not on the NDIS.  </w:t>
      </w:r>
    </w:p>
    <w:p w14:paraId="63F9AAF9" w14:textId="642ADF74" w:rsidR="00A55D9C" w:rsidRDefault="00A55D9C" w:rsidP="00A55D9C">
      <w:pPr>
        <w:pStyle w:val="NumberedHeading2"/>
      </w:pPr>
      <w:bookmarkStart w:id="18" w:name="_Toc190427215"/>
      <w:r>
        <w:t>Consultation process</w:t>
      </w:r>
      <w:r w:rsidR="00115BBF">
        <w:t xml:space="preserve"> for foundational supports</w:t>
      </w:r>
      <w:bookmarkEnd w:id="18"/>
    </w:p>
    <w:p w14:paraId="54794C42" w14:textId="1100720D" w:rsidR="00B36849" w:rsidRPr="00B36849" w:rsidRDefault="00B36849" w:rsidP="00B36849">
      <w:pPr>
        <w:rPr>
          <w:lang w:val="en-AU"/>
        </w:rPr>
      </w:pPr>
      <w:r w:rsidRPr="00B36849">
        <w:rPr>
          <w:lang w:val="en-AU"/>
        </w:rPr>
        <w:t xml:space="preserve">In 2024, the </w:t>
      </w:r>
      <w:r w:rsidR="00575558">
        <w:rPr>
          <w:lang w:val="en-AU"/>
        </w:rPr>
        <w:t xml:space="preserve">Australian </w:t>
      </w:r>
      <w:r w:rsidRPr="00B36849">
        <w:rPr>
          <w:lang w:val="en-AU"/>
        </w:rPr>
        <w:t xml:space="preserve">Government progressed the development of </w:t>
      </w:r>
      <w:r w:rsidR="00FB48E6">
        <w:rPr>
          <w:lang w:val="en-AU"/>
        </w:rPr>
        <w:t>f</w:t>
      </w:r>
      <w:r w:rsidRPr="00B36849">
        <w:rPr>
          <w:lang w:val="en-AU"/>
        </w:rPr>
        <w:t xml:space="preserve">oundational </w:t>
      </w:r>
      <w:r w:rsidR="00FB48E6">
        <w:rPr>
          <w:lang w:val="en-AU"/>
        </w:rPr>
        <w:t>s</w:t>
      </w:r>
      <w:r w:rsidRPr="00B36849">
        <w:rPr>
          <w:lang w:val="en-AU"/>
        </w:rPr>
        <w:t>upports programs,</w:t>
      </w:r>
      <w:r>
        <w:rPr>
          <w:lang w:val="en-AU"/>
        </w:rPr>
        <w:t xml:space="preserve"> </w:t>
      </w:r>
      <w:r w:rsidR="00153EA5">
        <w:rPr>
          <w:lang w:val="en-AU"/>
        </w:rPr>
        <w:t>although</w:t>
      </w:r>
      <w:r w:rsidR="00153EA5" w:rsidRPr="00B36849">
        <w:rPr>
          <w:lang w:val="en-AU"/>
        </w:rPr>
        <w:t xml:space="preserve"> </w:t>
      </w:r>
      <w:r w:rsidRPr="00B36849">
        <w:rPr>
          <w:lang w:val="en-AU"/>
        </w:rPr>
        <w:t>at a slower pace than initially indicated. DSS led a nationwide consultation process</w:t>
      </w:r>
      <w:r w:rsidR="009E79AA">
        <w:rPr>
          <w:lang w:val="en-AU"/>
        </w:rPr>
        <w:t>,</w:t>
      </w:r>
      <w:r w:rsidRPr="00B36849">
        <w:rPr>
          <w:lang w:val="en-AU"/>
        </w:rPr>
        <w:t xml:space="preserve"> which concluded in December 2024; a summary report is expected in early 2025.  </w:t>
      </w:r>
    </w:p>
    <w:p w14:paraId="470D82D0" w14:textId="77777777" w:rsidR="00EE2D3C" w:rsidRDefault="00B36849" w:rsidP="00B36849">
      <w:pPr>
        <w:rPr>
          <w:lang w:val="en-AU"/>
        </w:rPr>
      </w:pPr>
      <w:r w:rsidRPr="00B36849">
        <w:rPr>
          <w:lang w:val="en-AU"/>
        </w:rPr>
        <w:t>There</w:t>
      </w:r>
      <w:r w:rsidRPr="00B36849" w:rsidDel="00CB3C46">
        <w:rPr>
          <w:lang w:val="en-AU"/>
        </w:rPr>
        <w:t xml:space="preserve"> </w:t>
      </w:r>
      <w:r w:rsidR="00CB3C46">
        <w:rPr>
          <w:lang w:val="en-AU"/>
        </w:rPr>
        <w:t>is</w:t>
      </w:r>
      <w:r w:rsidR="00CB3C46" w:rsidRPr="00B36849">
        <w:rPr>
          <w:lang w:val="en-AU"/>
        </w:rPr>
        <w:t xml:space="preserve"> </w:t>
      </w:r>
      <w:r w:rsidRPr="00B36849">
        <w:rPr>
          <w:lang w:val="en-AU"/>
        </w:rPr>
        <w:t xml:space="preserve">widespread confusion about the scope and definition of foundational supports, and how they will operate in practice. There are also concerns about the risk of inaction by State and Territory </w:t>
      </w:r>
      <w:r w:rsidR="0014143E">
        <w:rPr>
          <w:lang w:val="en-AU"/>
        </w:rPr>
        <w:t>G</w:t>
      </w:r>
      <w:r w:rsidR="0014143E" w:rsidRPr="00B36849">
        <w:rPr>
          <w:lang w:val="en-AU"/>
        </w:rPr>
        <w:t>overnments</w:t>
      </w:r>
      <w:r w:rsidR="001702F4">
        <w:rPr>
          <w:lang w:val="en-AU"/>
        </w:rPr>
        <w:t>.</w:t>
      </w:r>
      <w:r w:rsidRPr="00B36849">
        <w:rPr>
          <w:lang w:val="en-AU"/>
        </w:rPr>
        <w:t xml:space="preserve"> </w:t>
      </w:r>
    </w:p>
    <w:p w14:paraId="0E956F1B" w14:textId="5E2831DB" w:rsidR="00EE2D3C" w:rsidRDefault="001702F4" w:rsidP="00B36849">
      <w:pPr>
        <w:rPr>
          <w:lang w:val="en-AU"/>
        </w:rPr>
      </w:pPr>
      <w:r>
        <w:rPr>
          <w:lang w:val="en-AU"/>
        </w:rPr>
        <w:t>D</w:t>
      </w:r>
      <w:r w:rsidR="00B36849" w:rsidRPr="00B36849">
        <w:rPr>
          <w:lang w:val="en-AU"/>
        </w:rPr>
        <w:t xml:space="preserve">isability advocacy groups have argued the Australian Government has not been able to clearly articulate the roles and capacities of State and Territory </w:t>
      </w:r>
      <w:r w:rsidR="008A2861">
        <w:rPr>
          <w:lang w:val="en-AU"/>
        </w:rPr>
        <w:t>G</w:t>
      </w:r>
      <w:r w:rsidR="00B36849" w:rsidRPr="00B36849">
        <w:rPr>
          <w:lang w:val="en-AU"/>
        </w:rPr>
        <w:t xml:space="preserve">overnments in the development, implementation and maintenance of </w:t>
      </w:r>
      <w:r w:rsidR="0090223B">
        <w:rPr>
          <w:lang w:val="en-AU"/>
        </w:rPr>
        <w:t>f</w:t>
      </w:r>
      <w:r w:rsidR="00B36849" w:rsidRPr="00B36849">
        <w:rPr>
          <w:lang w:val="en-AU"/>
        </w:rPr>
        <w:t xml:space="preserve">oundational </w:t>
      </w:r>
      <w:r w:rsidR="0090223B">
        <w:rPr>
          <w:lang w:val="en-AU"/>
        </w:rPr>
        <w:t>s</w:t>
      </w:r>
      <w:r w:rsidR="00B36849" w:rsidRPr="00B36849">
        <w:rPr>
          <w:lang w:val="en-AU"/>
        </w:rPr>
        <w:t xml:space="preserve">upports. As a result, some responses to the DSS consultation </w:t>
      </w:r>
      <w:r w:rsidR="00CC3A44">
        <w:rPr>
          <w:lang w:val="en-AU"/>
        </w:rPr>
        <w:t xml:space="preserve">from the disability community </w:t>
      </w:r>
      <w:r w:rsidR="00B36849" w:rsidRPr="00B36849">
        <w:rPr>
          <w:lang w:val="en-AU"/>
        </w:rPr>
        <w:t xml:space="preserve">focused specifically on the role of States and Territories in this process. </w:t>
      </w:r>
    </w:p>
    <w:p w14:paraId="65516A0E" w14:textId="390EF9E4" w:rsidR="00B36849" w:rsidRPr="00B36849" w:rsidRDefault="00B36849" w:rsidP="00B36849">
      <w:pPr>
        <w:rPr>
          <w:lang w:val="en-AU"/>
        </w:rPr>
      </w:pPr>
      <w:r w:rsidRPr="00B36849">
        <w:rPr>
          <w:lang w:val="en-AU"/>
        </w:rPr>
        <w:lastRenderedPageBreak/>
        <w:t xml:space="preserve">We understand </w:t>
      </w:r>
      <w:r w:rsidR="00414C01">
        <w:rPr>
          <w:lang w:val="en-AU"/>
        </w:rPr>
        <w:t>the Commonwealth</w:t>
      </w:r>
      <w:r w:rsidRPr="00B36849">
        <w:rPr>
          <w:lang w:val="en-AU"/>
        </w:rPr>
        <w:t xml:space="preserve">, State and Territory </w:t>
      </w:r>
      <w:r w:rsidR="00414C01">
        <w:rPr>
          <w:lang w:val="en-AU"/>
        </w:rPr>
        <w:t>G</w:t>
      </w:r>
      <w:r w:rsidRPr="00B36849">
        <w:rPr>
          <w:lang w:val="en-AU"/>
        </w:rPr>
        <w:t>overnments intend to review responses to the consultation before working together</w:t>
      </w:r>
      <w:r w:rsidR="00D41973">
        <w:rPr>
          <w:lang w:val="en-AU"/>
        </w:rPr>
        <w:t>,</w:t>
      </w:r>
      <w:r w:rsidRPr="00B36849">
        <w:rPr>
          <w:lang w:val="en-AU"/>
        </w:rPr>
        <w:t xml:space="preserve"> with people with disability and other stakeholders</w:t>
      </w:r>
      <w:r w:rsidR="00D41973">
        <w:rPr>
          <w:lang w:val="en-AU"/>
        </w:rPr>
        <w:t>,</w:t>
      </w:r>
      <w:r w:rsidRPr="00B36849">
        <w:rPr>
          <w:lang w:val="en-AU"/>
        </w:rPr>
        <w:t xml:space="preserve"> to plan the implementation of foundational supports.</w:t>
      </w:r>
      <w:r w:rsidR="002562D6" w:rsidRPr="002562D6">
        <w:rPr>
          <w:lang w:val="en-AU"/>
        </w:rPr>
        <w:t xml:space="preserve"> </w:t>
      </w:r>
      <w:r w:rsidR="002562D6" w:rsidRPr="00B36849">
        <w:rPr>
          <w:lang w:val="en-AU"/>
        </w:rPr>
        <w:t>Disability Representative Organisations have urged government to include people with disability in decisions made about this implementation process, to ensure it does not create gaps where people with disability are left without needed supports.</w:t>
      </w:r>
    </w:p>
    <w:p w14:paraId="703240DD" w14:textId="750A357A" w:rsidR="00A55D9C" w:rsidRDefault="00B36849" w:rsidP="00B36849">
      <w:pPr>
        <w:rPr>
          <w:lang w:val="en-AU"/>
        </w:rPr>
      </w:pPr>
      <w:r w:rsidRPr="00B36849">
        <w:rPr>
          <w:lang w:val="en-AU"/>
        </w:rPr>
        <w:t xml:space="preserve">Although the Australian Government is aiming for a staged implementation of foundational supports </w:t>
      </w:r>
      <w:r w:rsidR="00820107">
        <w:rPr>
          <w:lang w:val="en-AU"/>
        </w:rPr>
        <w:t>starting in</w:t>
      </w:r>
      <w:r w:rsidR="00820107" w:rsidRPr="00B36849">
        <w:rPr>
          <w:lang w:val="en-AU"/>
        </w:rPr>
        <w:t xml:space="preserve"> </w:t>
      </w:r>
      <w:r w:rsidRPr="00B36849">
        <w:rPr>
          <w:lang w:val="en-AU"/>
        </w:rPr>
        <w:t xml:space="preserve">mid-2025, it appears unlikely </w:t>
      </w:r>
      <w:r w:rsidR="00A806F7">
        <w:rPr>
          <w:lang w:val="en-AU"/>
        </w:rPr>
        <w:t xml:space="preserve">that </w:t>
      </w:r>
      <w:r w:rsidRPr="00B36849">
        <w:rPr>
          <w:lang w:val="en-AU"/>
        </w:rPr>
        <w:t xml:space="preserve">effective supports will be available by then. </w:t>
      </w:r>
    </w:p>
    <w:p w14:paraId="168BF6DC" w14:textId="0437EB6D" w:rsidR="008B3FC4" w:rsidRDefault="008C0DF3" w:rsidP="008C0DF3">
      <w:pPr>
        <w:pStyle w:val="NumberedHeading1"/>
        <w:rPr>
          <w:lang w:val="en-AU"/>
        </w:rPr>
      </w:pPr>
      <w:bookmarkStart w:id="19" w:name="_Toc190427216"/>
      <w:r>
        <w:rPr>
          <w:lang w:val="en-AU"/>
        </w:rPr>
        <w:t>Commencement of the Administrative Review Tribunal</w:t>
      </w:r>
      <w:bookmarkEnd w:id="19"/>
      <w:r>
        <w:rPr>
          <w:lang w:val="en-AU"/>
        </w:rPr>
        <w:t xml:space="preserve"> </w:t>
      </w:r>
    </w:p>
    <w:p w14:paraId="6F4A1045" w14:textId="1F69A498" w:rsidR="000E12C7" w:rsidRPr="000E12C7" w:rsidRDefault="000E12C7" w:rsidP="000E12C7">
      <w:pPr>
        <w:rPr>
          <w:lang w:val="en-AU"/>
        </w:rPr>
      </w:pPr>
      <w:r w:rsidRPr="000E12C7">
        <w:rPr>
          <w:lang w:val="en-AU"/>
        </w:rPr>
        <w:t xml:space="preserve">On 28 May 2024, Parliament passed legislation </w:t>
      </w:r>
      <w:r w:rsidR="009838E6">
        <w:rPr>
          <w:lang w:val="en-AU"/>
        </w:rPr>
        <w:t xml:space="preserve">to </w:t>
      </w:r>
      <w:r w:rsidRPr="000E12C7">
        <w:rPr>
          <w:lang w:val="en-AU"/>
        </w:rPr>
        <w:t xml:space="preserve">abolish the Administrative Appeals Tribunal (‘AAT’) and establish the Administrative Review Tribunal (‘ART’) in its place. The ART </w:t>
      </w:r>
      <w:r w:rsidR="00AD27DB">
        <w:rPr>
          <w:lang w:val="en-AU"/>
        </w:rPr>
        <w:t>began operating</w:t>
      </w:r>
      <w:r w:rsidR="00130701" w:rsidRPr="000E12C7">
        <w:rPr>
          <w:lang w:val="en-AU"/>
        </w:rPr>
        <w:t xml:space="preserve"> </w:t>
      </w:r>
      <w:r w:rsidRPr="000E12C7">
        <w:rPr>
          <w:lang w:val="en-AU"/>
        </w:rPr>
        <w:t>on 14 October 2024</w:t>
      </w:r>
      <w:r w:rsidR="00B503AA">
        <w:rPr>
          <w:lang w:val="en-AU"/>
        </w:rPr>
        <w:t>, with</w:t>
      </w:r>
      <w:r w:rsidRPr="000E12C7">
        <w:rPr>
          <w:lang w:val="en-AU"/>
        </w:rPr>
        <w:t xml:space="preserve"> AAT </w:t>
      </w:r>
      <w:r w:rsidR="00B503AA">
        <w:rPr>
          <w:lang w:val="en-AU"/>
        </w:rPr>
        <w:t>cases</w:t>
      </w:r>
      <w:r w:rsidR="00B503AA" w:rsidRPr="000E12C7">
        <w:rPr>
          <w:lang w:val="en-AU"/>
        </w:rPr>
        <w:t xml:space="preserve"> </w:t>
      </w:r>
      <w:r w:rsidRPr="000E12C7">
        <w:rPr>
          <w:lang w:val="en-AU"/>
        </w:rPr>
        <w:t>transition</w:t>
      </w:r>
      <w:r w:rsidR="00B503AA">
        <w:rPr>
          <w:lang w:val="en-AU"/>
        </w:rPr>
        <w:t>ing</w:t>
      </w:r>
      <w:r w:rsidRPr="000E12C7">
        <w:rPr>
          <w:lang w:val="en-AU"/>
        </w:rPr>
        <w:t xml:space="preserve"> to the ART. </w:t>
      </w:r>
      <w:r w:rsidR="00B8118E">
        <w:rPr>
          <w:lang w:val="en-AU"/>
        </w:rPr>
        <w:t>Like</w:t>
      </w:r>
      <w:r w:rsidR="000210FA">
        <w:rPr>
          <w:lang w:val="en-AU"/>
        </w:rPr>
        <w:t xml:space="preserve"> the AAT, t</w:t>
      </w:r>
      <w:r w:rsidRPr="000E12C7">
        <w:rPr>
          <w:lang w:val="en-AU"/>
        </w:rPr>
        <w:t>he ART will review a range of Commonwealth administrative decisions</w:t>
      </w:r>
      <w:r w:rsidR="00B8118E">
        <w:rPr>
          <w:lang w:val="en-AU"/>
        </w:rPr>
        <w:t>,</w:t>
      </w:r>
      <w:r w:rsidRPr="000E12C7">
        <w:rPr>
          <w:lang w:val="en-AU"/>
        </w:rPr>
        <w:t xml:space="preserve"> including decisions</w:t>
      </w:r>
      <w:r w:rsidR="00E50C86">
        <w:rPr>
          <w:lang w:val="en-AU"/>
        </w:rPr>
        <w:t xml:space="preserve"> about NDIS access and funding</w:t>
      </w:r>
      <w:r w:rsidRPr="000E12C7">
        <w:rPr>
          <w:lang w:val="en-AU"/>
        </w:rPr>
        <w:t xml:space="preserve">. </w:t>
      </w:r>
    </w:p>
    <w:p w14:paraId="075F2686" w14:textId="07034C85" w:rsidR="000E12C7" w:rsidRDefault="00A93733" w:rsidP="000E12C7">
      <w:pPr>
        <w:rPr>
          <w:lang w:val="en-AU"/>
        </w:rPr>
      </w:pPr>
      <w:r>
        <w:rPr>
          <w:lang w:val="en-AU"/>
        </w:rPr>
        <w:t xml:space="preserve">The ART </w:t>
      </w:r>
      <w:r w:rsidR="00791A36">
        <w:rPr>
          <w:lang w:val="en-AU"/>
        </w:rPr>
        <w:t>will operate differently to</w:t>
      </w:r>
      <w:r>
        <w:rPr>
          <w:lang w:val="en-AU"/>
        </w:rPr>
        <w:t xml:space="preserve"> the AAT</w:t>
      </w:r>
      <w:r w:rsidR="00791A36">
        <w:rPr>
          <w:lang w:val="en-AU"/>
        </w:rPr>
        <w:t xml:space="preserve"> in some ways</w:t>
      </w:r>
      <w:r w:rsidR="003A3CE1">
        <w:rPr>
          <w:lang w:val="en-AU"/>
        </w:rPr>
        <w:t xml:space="preserve">, </w:t>
      </w:r>
      <w:r w:rsidR="000E12C7" w:rsidRPr="000E12C7">
        <w:rPr>
          <w:lang w:val="en-AU"/>
        </w:rPr>
        <w:t>with the aim of improving the Tribunal’s function. For example, the ART:</w:t>
      </w:r>
    </w:p>
    <w:p w14:paraId="6855951B" w14:textId="09B6FF0B" w:rsidR="000E12C7" w:rsidRDefault="000E12C7" w:rsidP="000E12C7">
      <w:pPr>
        <w:pStyle w:val="ListParagraph"/>
        <w:numPr>
          <w:ilvl w:val="0"/>
          <w:numId w:val="40"/>
        </w:numPr>
        <w:rPr>
          <w:lang w:val="en-AU"/>
        </w:rPr>
      </w:pPr>
      <w:r w:rsidRPr="000E12C7">
        <w:rPr>
          <w:lang w:val="en-AU"/>
        </w:rPr>
        <w:t xml:space="preserve">has more resources and avenues to manage reviews, with a view to dealing with matters more quickly and efficiently; </w:t>
      </w:r>
    </w:p>
    <w:p w14:paraId="36461004" w14:textId="385BBEFA" w:rsidR="000E12C7" w:rsidRDefault="000E12C7" w:rsidP="000E12C7">
      <w:pPr>
        <w:pStyle w:val="ListParagraph"/>
        <w:numPr>
          <w:ilvl w:val="0"/>
          <w:numId w:val="40"/>
        </w:numPr>
        <w:rPr>
          <w:lang w:val="en-AU"/>
        </w:rPr>
      </w:pPr>
      <w:r w:rsidRPr="000E12C7">
        <w:rPr>
          <w:lang w:val="en-AU"/>
        </w:rPr>
        <w:t xml:space="preserve">has some new procedural powers, such as to remove a respondent from proceedings if they do not comply with the ART’s orders; </w:t>
      </w:r>
    </w:p>
    <w:p w14:paraId="38E12FD0" w14:textId="1D3D1EE1" w:rsidR="000E12C7" w:rsidRDefault="000E12C7" w:rsidP="000E12C7">
      <w:pPr>
        <w:pStyle w:val="ListParagraph"/>
        <w:numPr>
          <w:ilvl w:val="0"/>
          <w:numId w:val="40"/>
        </w:numPr>
        <w:rPr>
          <w:lang w:val="en-AU"/>
        </w:rPr>
      </w:pPr>
      <w:r w:rsidRPr="000E12C7">
        <w:rPr>
          <w:lang w:val="en-AU"/>
        </w:rPr>
        <w:t>must consider ‘accessibility’ and user needs in how it approaches reviews, to assist it to promote its objective of being accessible; and</w:t>
      </w:r>
    </w:p>
    <w:p w14:paraId="31F4078B" w14:textId="3069D471" w:rsidR="000E12C7" w:rsidRPr="000E12C7" w:rsidRDefault="000E12C7" w:rsidP="000E12C7">
      <w:pPr>
        <w:pStyle w:val="ListParagraph"/>
        <w:numPr>
          <w:ilvl w:val="0"/>
          <w:numId w:val="40"/>
        </w:numPr>
        <w:rPr>
          <w:lang w:val="en-AU"/>
        </w:rPr>
      </w:pPr>
      <w:r w:rsidRPr="000E12C7">
        <w:rPr>
          <w:lang w:val="en-AU"/>
        </w:rPr>
        <w:t>has a new Guidance and Appeals Panel, which can consider cases that raise systemic issues, and can review some Tribunal decisions</w:t>
      </w:r>
      <w:r w:rsidR="00274950">
        <w:rPr>
          <w:lang w:val="en-AU"/>
        </w:rPr>
        <w:t>, for example</w:t>
      </w:r>
      <w:r w:rsidR="004A0D51">
        <w:rPr>
          <w:lang w:val="en-AU"/>
        </w:rPr>
        <w:t>,</w:t>
      </w:r>
      <w:r w:rsidR="00274950">
        <w:rPr>
          <w:lang w:val="en-AU"/>
        </w:rPr>
        <w:t xml:space="preserve"> </w:t>
      </w:r>
      <w:r w:rsidR="00FA6B94">
        <w:rPr>
          <w:lang w:val="en-AU"/>
        </w:rPr>
        <w:t xml:space="preserve">where there might have </w:t>
      </w:r>
      <w:r w:rsidRPr="000E12C7">
        <w:rPr>
          <w:lang w:val="en-AU"/>
        </w:rPr>
        <w:t xml:space="preserve">been a mistake.  </w:t>
      </w:r>
    </w:p>
    <w:p w14:paraId="79D2362F" w14:textId="718436D6" w:rsidR="000E12C7" w:rsidRPr="000E12C7" w:rsidRDefault="000E12C7" w:rsidP="000E12C7">
      <w:pPr>
        <w:rPr>
          <w:lang w:val="en-AU"/>
        </w:rPr>
      </w:pPr>
      <w:r w:rsidRPr="000E12C7">
        <w:rPr>
          <w:lang w:val="en-AU"/>
        </w:rPr>
        <w:t xml:space="preserve">The Government has also re-established the Administrative Review Council, which could be a helpful forum for inquiring into systemic </w:t>
      </w:r>
      <w:r w:rsidR="00013655">
        <w:rPr>
          <w:lang w:val="en-AU"/>
        </w:rPr>
        <w:t xml:space="preserve">administrative law </w:t>
      </w:r>
      <w:r w:rsidR="00547CEE">
        <w:rPr>
          <w:lang w:val="en-AU"/>
        </w:rPr>
        <w:t>issues</w:t>
      </w:r>
      <w:r w:rsidR="00547CEE" w:rsidRPr="000E12C7">
        <w:rPr>
          <w:lang w:val="en-AU"/>
        </w:rPr>
        <w:t xml:space="preserve"> </w:t>
      </w:r>
      <w:r w:rsidRPr="000E12C7">
        <w:rPr>
          <w:lang w:val="en-AU"/>
        </w:rPr>
        <w:t xml:space="preserve">relating to the NDIS.  </w:t>
      </w:r>
    </w:p>
    <w:p w14:paraId="635A5765" w14:textId="2A03E2DA" w:rsidR="000E12C7" w:rsidRDefault="000E12C7" w:rsidP="000E12C7">
      <w:pPr>
        <w:rPr>
          <w:lang w:val="en-AU"/>
        </w:rPr>
      </w:pPr>
      <w:r w:rsidRPr="000E12C7">
        <w:rPr>
          <w:lang w:val="en-AU"/>
        </w:rPr>
        <w:t xml:space="preserve">As the new ART evolves, there may be further changes to </w:t>
      </w:r>
      <w:r w:rsidR="004F59B4">
        <w:rPr>
          <w:lang w:val="en-AU"/>
        </w:rPr>
        <w:t>how</w:t>
      </w:r>
      <w:r w:rsidRPr="000E12C7">
        <w:rPr>
          <w:lang w:val="en-AU"/>
        </w:rPr>
        <w:t xml:space="preserve"> it manages NDIS </w:t>
      </w:r>
      <w:r w:rsidR="00331E74">
        <w:rPr>
          <w:lang w:val="en-AU"/>
        </w:rPr>
        <w:t>cases</w:t>
      </w:r>
      <w:r w:rsidR="00CF6BB2">
        <w:rPr>
          <w:lang w:val="en-AU"/>
        </w:rPr>
        <w:t>, in order</w:t>
      </w:r>
      <w:r w:rsidRPr="000E12C7">
        <w:rPr>
          <w:lang w:val="en-AU"/>
        </w:rPr>
        <w:t xml:space="preserve"> to achieve its overarching objective of providing an independent mechanism of </w:t>
      </w:r>
      <w:r w:rsidR="00331E74">
        <w:rPr>
          <w:lang w:val="en-AU"/>
        </w:rPr>
        <w:t xml:space="preserve">external </w:t>
      </w:r>
      <w:r w:rsidRPr="000E12C7">
        <w:rPr>
          <w:lang w:val="en-AU"/>
        </w:rPr>
        <w:t>review that: is fair and just</w:t>
      </w:r>
      <w:r w:rsidR="00F8212C">
        <w:rPr>
          <w:lang w:val="en-AU"/>
        </w:rPr>
        <w:t>;</w:t>
      </w:r>
      <w:r w:rsidRPr="000E12C7">
        <w:rPr>
          <w:lang w:val="en-AU"/>
        </w:rPr>
        <w:t xml:space="preserve"> ensures applications are resolved as quickly and with as little formality and expense as possible</w:t>
      </w:r>
      <w:r w:rsidR="00F8212C">
        <w:rPr>
          <w:lang w:val="en-AU"/>
        </w:rPr>
        <w:t>;</w:t>
      </w:r>
      <w:r w:rsidRPr="000E12C7">
        <w:rPr>
          <w:lang w:val="en-AU"/>
        </w:rPr>
        <w:t xml:space="preserve"> is accessible and responsive to the diverse needs of parties</w:t>
      </w:r>
      <w:r w:rsidR="00F8212C">
        <w:rPr>
          <w:lang w:val="en-AU"/>
        </w:rPr>
        <w:t>;</w:t>
      </w:r>
      <w:r w:rsidRPr="000E12C7">
        <w:rPr>
          <w:lang w:val="en-AU"/>
        </w:rPr>
        <w:t xml:space="preserve"> improves the transparency and quality of government decision-making</w:t>
      </w:r>
      <w:r w:rsidR="00F8212C">
        <w:rPr>
          <w:lang w:val="en-AU"/>
        </w:rPr>
        <w:t>;</w:t>
      </w:r>
      <w:r w:rsidRPr="000E12C7">
        <w:rPr>
          <w:lang w:val="en-AU"/>
        </w:rPr>
        <w:t xml:space="preserve"> and promotes public trust and confidence.</w:t>
      </w:r>
    </w:p>
    <w:p w14:paraId="7D7DA443" w14:textId="25E2F94A" w:rsidR="000E12C7" w:rsidRDefault="000E12C7" w:rsidP="000E12C7">
      <w:pPr>
        <w:pStyle w:val="NumberedHeading2"/>
      </w:pPr>
      <w:bookmarkStart w:id="20" w:name="_Toc190427217"/>
      <w:r>
        <w:t>Early implementation issues for the ART</w:t>
      </w:r>
      <w:bookmarkEnd w:id="20"/>
    </w:p>
    <w:p w14:paraId="62BEC619" w14:textId="692226EB" w:rsidR="00DD23CD" w:rsidRDefault="00DD23CD" w:rsidP="00171833">
      <w:pPr>
        <w:pStyle w:val="Numberedheading3-legal"/>
        <w:rPr>
          <w:lang w:val="en-AU"/>
        </w:rPr>
      </w:pPr>
      <w:r>
        <w:rPr>
          <w:lang w:val="en-AU"/>
        </w:rPr>
        <w:t xml:space="preserve">Practice </w:t>
      </w:r>
      <w:r w:rsidR="009F7E82">
        <w:rPr>
          <w:lang w:val="en-AU"/>
        </w:rPr>
        <w:t>directions</w:t>
      </w:r>
    </w:p>
    <w:p w14:paraId="611D651F" w14:textId="08D669E9" w:rsidR="008829CC" w:rsidRPr="008829CC" w:rsidRDefault="008829CC" w:rsidP="008829CC">
      <w:pPr>
        <w:rPr>
          <w:lang w:val="en-AU"/>
        </w:rPr>
      </w:pPr>
      <w:r w:rsidRPr="008829CC">
        <w:rPr>
          <w:lang w:val="en-AU"/>
        </w:rPr>
        <w:t xml:space="preserve">The ART President </w:t>
      </w:r>
      <w:r w:rsidR="00D20ED7">
        <w:rPr>
          <w:lang w:val="en-AU"/>
        </w:rPr>
        <w:t xml:space="preserve">can </w:t>
      </w:r>
      <w:r w:rsidRPr="008829CC">
        <w:rPr>
          <w:lang w:val="en-AU"/>
        </w:rPr>
        <w:t xml:space="preserve">make Practice Directions, which </w:t>
      </w:r>
      <w:r w:rsidR="00D20ED7">
        <w:rPr>
          <w:lang w:val="en-AU"/>
        </w:rPr>
        <w:t>guide</w:t>
      </w:r>
      <w:r w:rsidRPr="008829CC">
        <w:rPr>
          <w:lang w:val="en-AU"/>
        </w:rPr>
        <w:t xml:space="preserve"> how the ART uses the range of powers and procedures available to it, and how </w:t>
      </w:r>
      <w:r w:rsidR="00412179">
        <w:rPr>
          <w:lang w:val="en-AU"/>
        </w:rPr>
        <w:t>cases</w:t>
      </w:r>
      <w:r w:rsidR="00412179" w:rsidRPr="008829CC">
        <w:rPr>
          <w:lang w:val="en-AU"/>
        </w:rPr>
        <w:t xml:space="preserve"> </w:t>
      </w:r>
      <w:r w:rsidR="008522EC">
        <w:rPr>
          <w:lang w:val="en-AU"/>
        </w:rPr>
        <w:t xml:space="preserve">will </w:t>
      </w:r>
      <w:r w:rsidR="00AC6D18">
        <w:rPr>
          <w:lang w:val="en-AU"/>
        </w:rPr>
        <w:t>be managed</w:t>
      </w:r>
      <w:r w:rsidR="00AC6D18" w:rsidRPr="008829CC">
        <w:rPr>
          <w:lang w:val="en-AU"/>
        </w:rPr>
        <w:t xml:space="preserve"> </w:t>
      </w:r>
      <w:r w:rsidRPr="008829CC">
        <w:rPr>
          <w:lang w:val="en-AU"/>
        </w:rPr>
        <w:t xml:space="preserve">in practice. </w:t>
      </w:r>
      <w:r w:rsidR="00286605">
        <w:rPr>
          <w:lang w:val="en-AU"/>
        </w:rPr>
        <w:t>As of January 2025</w:t>
      </w:r>
      <w:r w:rsidRPr="008829CC">
        <w:rPr>
          <w:lang w:val="en-AU"/>
        </w:rPr>
        <w:t xml:space="preserve">, six Practice Directions have been issued, including in relation to the procedures of the ART and how the ART will deal with expert evidence.  </w:t>
      </w:r>
    </w:p>
    <w:p w14:paraId="3FBD4AC7" w14:textId="2AC3550C" w:rsidR="008829CC" w:rsidRDefault="008829CC" w:rsidP="008829CC">
      <w:pPr>
        <w:rPr>
          <w:lang w:val="en-AU"/>
        </w:rPr>
      </w:pPr>
      <w:r w:rsidRPr="008829CC">
        <w:rPr>
          <w:lang w:val="en-AU"/>
        </w:rPr>
        <w:lastRenderedPageBreak/>
        <w:t xml:space="preserve">Disability advocates have called for a dedicated Practice Direction to govern NDIS </w:t>
      </w:r>
      <w:r w:rsidR="00C91693">
        <w:rPr>
          <w:lang w:val="en-AU"/>
        </w:rPr>
        <w:t>cases</w:t>
      </w:r>
      <w:r w:rsidRPr="008829CC">
        <w:rPr>
          <w:lang w:val="en-AU"/>
        </w:rPr>
        <w:t xml:space="preserve">, as these often involve complex issues and unique dynamics. Many people with disability have described difficult experiences dealing with the NDIA during AAT reviews, </w:t>
      </w:r>
      <w:r w:rsidR="009647EF">
        <w:rPr>
          <w:lang w:val="en-AU"/>
        </w:rPr>
        <w:t>and</w:t>
      </w:r>
      <w:r w:rsidR="009647EF" w:rsidRPr="008829CC">
        <w:rPr>
          <w:lang w:val="en-AU"/>
        </w:rPr>
        <w:t xml:space="preserve"> </w:t>
      </w:r>
      <w:r w:rsidRPr="008829CC">
        <w:rPr>
          <w:lang w:val="en-AU"/>
        </w:rPr>
        <w:t>a new Practice Direction could help the ART address</w:t>
      </w:r>
      <w:r w:rsidR="009647EF">
        <w:rPr>
          <w:lang w:val="en-AU"/>
        </w:rPr>
        <w:t xml:space="preserve"> this</w:t>
      </w:r>
      <w:r w:rsidRPr="008829CC">
        <w:rPr>
          <w:lang w:val="en-AU"/>
        </w:rPr>
        <w:t>. The disability community has also asked the ART to consider developing a</w:t>
      </w:r>
      <w:r w:rsidR="007D5FE8">
        <w:rPr>
          <w:lang w:val="en-AU"/>
        </w:rPr>
        <w:t xml:space="preserve"> separate</w:t>
      </w:r>
      <w:r w:rsidRPr="008829CC">
        <w:rPr>
          <w:lang w:val="en-AU"/>
        </w:rPr>
        <w:t xml:space="preserve"> Practice Direction to guide the ART’s management of cases involving applicants or witnesses with disability needs. To date, the ART President has not agreed to make either of these Practice Directions. </w:t>
      </w:r>
    </w:p>
    <w:p w14:paraId="5100C7D4" w14:textId="62DB84EC" w:rsidR="009F7E82" w:rsidRPr="008829CC" w:rsidRDefault="009F7E82" w:rsidP="00A91E42">
      <w:pPr>
        <w:pStyle w:val="Numberedheading3-legal"/>
        <w:rPr>
          <w:lang w:val="en-AU"/>
        </w:rPr>
      </w:pPr>
      <w:r>
        <w:rPr>
          <w:lang w:val="en-AU"/>
        </w:rPr>
        <w:t>Publication of decisions</w:t>
      </w:r>
      <w:r w:rsidR="00BC3E47">
        <w:rPr>
          <w:lang w:val="en-AU"/>
        </w:rPr>
        <w:t xml:space="preserve"> on NDIS </w:t>
      </w:r>
      <w:r w:rsidR="005121B7">
        <w:rPr>
          <w:lang w:val="en-AU"/>
        </w:rPr>
        <w:t>cases</w:t>
      </w:r>
    </w:p>
    <w:p w14:paraId="5BEA7913" w14:textId="20766274" w:rsidR="008829CC" w:rsidRPr="008829CC" w:rsidRDefault="008829CC" w:rsidP="008829CC">
      <w:pPr>
        <w:rPr>
          <w:lang w:val="en-AU"/>
        </w:rPr>
      </w:pPr>
      <w:r w:rsidRPr="008829CC">
        <w:rPr>
          <w:lang w:val="en-AU"/>
        </w:rPr>
        <w:t xml:space="preserve">Advocates have raised concerns with the ART’s approach to publication of decisions. While the AAT previously published all decisions on </w:t>
      </w:r>
      <w:r w:rsidR="00BC3E47">
        <w:rPr>
          <w:lang w:val="en-AU"/>
        </w:rPr>
        <w:t xml:space="preserve">NDIS </w:t>
      </w:r>
      <w:r w:rsidRPr="008829CC">
        <w:rPr>
          <w:lang w:val="en-AU"/>
        </w:rPr>
        <w:t xml:space="preserve">reviews </w:t>
      </w:r>
      <w:r w:rsidR="007F5C00">
        <w:rPr>
          <w:lang w:val="en-AU"/>
        </w:rPr>
        <w:t>(</w:t>
      </w:r>
      <w:r w:rsidRPr="008829CC">
        <w:rPr>
          <w:lang w:val="en-AU"/>
        </w:rPr>
        <w:t>except where prevented by confidentiality orders</w:t>
      </w:r>
      <w:r w:rsidR="007F5C00">
        <w:rPr>
          <w:lang w:val="en-AU"/>
        </w:rPr>
        <w:t>)</w:t>
      </w:r>
      <w:r w:rsidRPr="008829CC">
        <w:rPr>
          <w:lang w:val="en-AU"/>
        </w:rPr>
        <w:t xml:space="preserve">, in a Senate Estimates hearing on 28 November 2024 the ART Registrar confirmed the ART would take a different approach to publishing decisions to focus on ‘more qualitative than quantitative’ measures. Subsequently, on 11 December 2024 the ART issued a </w:t>
      </w:r>
      <w:hyperlink r:id="rId20" w:history="1">
        <w:r w:rsidRPr="005F56E7">
          <w:rPr>
            <w:rStyle w:val="Hyperlink"/>
            <w:lang w:val="en-AU"/>
          </w:rPr>
          <w:t>‘Publication of Decisions’ policy</w:t>
        </w:r>
      </w:hyperlink>
      <w:r w:rsidRPr="008829CC">
        <w:rPr>
          <w:lang w:val="en-AU"/>
        </w:rPr>
        <w:t xml:space="preserve"> which confirmed </w:t>
      </w:r>
      <w:r w:rsidR="00205F18">
        <w:rPr>
          <w:lang w:val="en-AU"/>
        </w:rPr>
        <w:t xml:space="preserve">that </w:t>
      </w:r>
      <w:r w:rsidRPr="008829CC">
        <w:rPr>
          <w:lang w:val="en-AU"/>
        </w:rPr>
        <w:t xml:space="preserve">only selected NDIS review decisions would be published, based on whether the decision met certain ‘Public Interest Criteria’. </w:t>
      </w:r>
    </w:p>
    <w:p w14:paraId="17040D36" w14:textId="66C96F85" w:rsidR="000E12C7" w:rsidRDefault="003C64A6" w:rsidP="008829CC">
      <w:pPr>
        <w:rPr>
          <w:lang w:val="en-AU"/>
        </w:rPr>
      </w:pPr>
      <w:r>
        <w:rPr>
          <w:lang w:val="en-AU"/>
        </w:rPr>
        <w:t>Concerningly, t</w:t>
      </w:r>
      <w:r w:rsidR="008829CC" w:rsidRPr="008829CC">
        <w:rPr>
          <w:lang w:val="en-AU"/>
        </w:rPr>
        <w:t xml:space="preserve">his more restricted approach to publishing decisions </w:t>
      </w:r>
      <w:r>
        <w:rPr>
          <w:lang w:val="en-AU"/>
        </w:rPr>
        <w:t>is</w:t>
      </w:r>
      <w:r w:rsidR="00306638">
        <w:rPr>
          <w:lang w:val="en-AU"/>
        </w:rPr>
        <w:t xml:space="preserve"> likely</w:t>
      </w:r>
      <w:r>
        <w:rPr>
          <w:lang w:val="en-AU"/>
        </w:rPr>
        <w:t xml:space="preserve"> to</w:t>
      </w:r>
      <w:r w:rsidR="008829CC" w:rsidRPr="008829CC">
        <w:rPr>
          <w:lang w:val="en-AU"/>
        </w:rPr>
        <w:t xml:space="preserve"> limit public oversight of ART decisions and lead to reduced accountability for NDIA practices. It may also make it more difficult for people with disability and their representatives to challenge NDIA decisions by preventing them from accessing relevant </w:t>
      </w:r>
      <w:r w:rsidR="007213AC">
        <w:rPr>
          <w:lang w:val="en-AU"/>
        </w:rPr>
        <w:t xml:space="preserve">prior </w:t>
      </w:r>
      <w:r w:rsidR="008829CC" w:rsidRPr="008829CC">
        <w:rPr>
          <w:lang w:val="en-AU"/>
        </w:rPr>
        <w:t>ART decisions</w:t>
      </w:r>
      <w:r w:rsidR="00BD7007">
        <w:rPr>
          <w:lang w:val="en-AU"/>
        </w:rPr>
        <w:t>, while the NDIA will have full knowledge of all prior decisions</w:t>
      </w:r>
      <w:r w:rsidR="008829CC" w:rsidRPr="008829CC">
        <w:rPr>
          <w:lang w:val="en-AU"/>
        </w:rPr>
        <w:t>.</w:t>
      </w:r>
    </w:p>
    <w:p w14:paraId="1BB658BE" w14:textId="035A5BDB" w:rsidR="00ED5194" w:rsidRDefault="00ED5194" w:rsidP="00ED5194">
      <w:pPr>
        <w:rPr>
          <w:lang w:val="en-AU"/>
        </w:rPr>
      </w:pPr>
      <w:r w:rsidRPr="00ED5194">
        <w:rPr>
          <w:b/>
          <w:bCs/>
          <w:lang w:val="en-AU"/>
        </w:rPr>
        <w:t>Update</w:t>
      </w:r>
      <w:r w:rsidRPr="00ED5194">
        <w:rPr>
          <w:lang w:val="en-AU"/>
        </w:rPr>
        <w:t>: After this report was written, the ART confirmed that</w:t>
      </w:r>
      <w:r>
        <w:rPr>
          <w:lang w:val="en-AU"/>
        </w:rPr>
        <w:t xml:space="preserve"> </w:t>
      </w:r>
      <w:r w:rsidRPr="00ED5194">
        <w:rPr>
          <w:lang w:val="en-AU"/>
        </w:rPr>
        <w:t>all decisions on NDIS cases will continue to be published on</w:t>
      </w:r>
      <w:r>
        <w:rPr>
          <w:lang w:val="en-AU"/>
        </w:rPr>
        <w:t xml:space="preserve"> </w:t>
      </w:r>
      <w:proofErr w:type="spellStart"/>
      <w:r w:rsidRPr="00ED5194">
        <w:rPr>
          <w:lang w:val="en-AU"/>
        </w:rPr>
        <w:t>AustLII</w:t>
      </w:r>
      <w:proofErr w:type="spellEnd"/>
      <w:r w:rsidRPr="00ED5194">
        <w:rPr>
          <w:lang w:val="en-AU"/>
        </w:rPr>
        <w:t xml:space="preserve"> for the foreseeable future.</w:t>
      </w:r>
    </w:p>
    <w:p w14:paraId="5F29CE5E" w14:textId="50D598F6" w:rsidR="008829CC" w:rsidRDefault="008829CC" w:rsidP="008829CC">
      <w:pPr>
        <w:pStyle w:val="NumberedHeading1"/>
        <w:rPr>
          <w:lang w:val="en-AU"/>
        </w:rPr>
      </w:pPr>
      <w:bookmarkStart w:id="21" w:name="_Toc190427218"/>
      <w:r>
        <w:rPr>
          <w:lang w:val="en-AU"/>
        </w:rPr>
        <w:t>Provider quality, accountability and compliance</w:t>
      </w:r>
      <w:bookmarkEnd w:id="21"/>
    </w:p>
    <w:p w14:paraId="075A8F73" w14:textId="6446D2F2" w:rsidR="00CF3333" w:rsidRPr="00CF3333" w:rsidRDefault="00CF3333" w:rsidP="00CF3333">
      <w:pPr>
        <w:rPr>
          <w:lang w:val="en-AU"/>
        </w:rPr>
      </w:pPr>
      <w:r w:rsidRPr="00CF3333">
        <w:rPr>
          <w:lang w:val="en-AU"/>
        </w:rPr>
        <w:t xml:space="preserve">Despite some existing safeguards, including the NDIS Code of Conduct, NDIS Practice Standards and the Australian Consumer Law (‘ACL’), the Government </w:t>
      </w:r>
      <w:r w:rsidR="00E91778">
        <w:rPr>
          <w:lang w:val="en-AU"/>
        </w:rPr>
        <w:t>has determined</w:t>
      </w:r>
      <w:r w:rsidR="0031275D">
        <w:rPr>
          <w:lang w:val="en-AU"/>
        </w:rPr>
        <w:t xml:space="preserve"> a</w:t>
      </w:r>
      <w:r w:rsidRPr="00CF3333">
        <w:rPr>
          <w:lang w:val="en-AU"/>
        </w:rPr>
        <w:t xml:space="preserve"> need for additional quality control of NDIS services. </w:t>
      </w:r>
    </w:p>
    <w:p w14:paraId="3A4E5B94" w14:textId="6BF5E764" w:rsidR="00CF3333" w:rsidRPr="00CF3333" w:rsidRDefault="00CF3333" w:rsidP="00CF3333">
      <w:pPr>
        <w:rPr>
          <w:lang w:val="en-AU"/>
        </w:rPr>
      </w:pPr>
      <w:r w:rsidRPr="00CF3333">
        <w:rPr>
          <w:lang w:val="en-AU"/>
        </w:rPr>
        <w:t xml:space="preserve">In </w:t>
      </w:r>
      <w:r w:rsidR="00B600EB">
        <w:rPr>
          <w:lang w:val="en-AU"/>
        </w:rPr>
        <w:t>early</w:t>
      </w:r>
      <w:r w:rsidR="00B600EB" w:rsidRPr="00CF3333">
        <w:rPr>
          <w:lang w:val="en-AU"/>
        </w:rPr>
        <w:t xml:space="preserve"> </w:t>
      </w:r>
      <w:r w:rsidRPr="00CF3333">
        <w:rPr>
          <w:lang w:val="en-AU"/>
        </w:rPr>
        <w:t xml:space="preserve">2024, the Government </w:t>
      </w:r>
      <w:r w:rsidR="00B276C8">
        <w:rPr>
          <w:lang w:val="en-AU"/>
        </w:rPr>
        <w:t>established</w:t>
      </w:r>
      <w:r w:rsidR="00B276C8" w:rsidRPr="00CF3333">
        <w:rPr>
          <w:lang w:val="en-AU"/>
        </w:rPr>
        <w:t xml:space="preserve"> </w:t>
      </w:r>
      <w:r w:rsidRPr="00CF3333">
        <w:rPr>
          <w:lang w:val="en-AU"/>
        </w:rPr>
        <w:t>the NDIS Provider and Worker Registration Taskforce to provide expert advice on overhaul</w:t>
      </w:r>
      <w:r w:rsidR="00EA3C7A">
        <w:rPr>
          <w:lang w:val="en-AU"/>
        </w:rPr>
        <w:t>ing</w:t>
      </w:r>
      <w:r w:rsidRPr="00CF3333">
        <w:rPr>
          <w:lang w:val="en-AU"/>
        </w:rPr>
        <w:t xml:space="preserve"> the NDIS registration system. </w:t>
      </w:r>
      <w:r w:rsidR="004B5AA2">
        <w:rPr>
          <w:lang w:val="en-AU"/>
        </w:rPr>
        <w:t>The</w:t>
      </w:r>
      <w:r w:rsidRPr="00CF3333">
        <w:rPr>
          <w:lang w:val="en-AU"/>
        </w:rPr>
        <w:t xml:space="preserve"> Taskforce provided detailed advice, </w:t>
      </w:r>
      <w:r w:rsidR="005733A2">
        <w:rPr>
          <w:lang w:val="en-AU"/>
        </w:rPr>
        <w:t>including</w:t>
      </w:r>
      <w:r w:rsidR="00F11C09">
        <w:rPr>
          <w:lang w:val="en-AU"/>
        </w:rPr>
        <w:t xml:space="preserve"> </w:t>
      </w:r>
      <w:r w:rsidRPr="00CF3333">
        <w:rPr>
          <w:lang w:val="en-AU"/>
        </w:rPr>
        <w:t>21 recommendations</w:t>
      </w:r>
      <w:r w:rsidR="00F11C09">
        <w:rPr>
          <w:lang w:val="en-AU"/>
        </w:rPr>
        <w:t xml:space="preserve">, in August 2024. </w:t>
      </w:r>
      <w:r w:rsidR="00FC277E">
        <w:rPr>
          <w:lang w:val="en-AU"/>
        </w:rPr>
        <w:t>Recommendations</w:t>
      </w:r>
      <w:r w:rsidRPr="00CF3333">
        <w:rPr>
          <w:lang w:val="en-AU"/>
        </w:rPr>
        <w:t xml:space="preserve"> focused on a risk-based registration model for NDIS providers, with different levels of registration based on the type of support provided. Key recommendations included </w:t>
      </w:r>
      <w:r w:rsidR="00961F8F">
        <w:rPr>
          <w:lang w:val="en-AU"/>
        </w:rPr>
        <w:t xml:space="preserve">transitioning </w:t>
      </w:r>
      <w:r w:rsidR="002D0F97">
        <w:rPr>
          <w:lang w:val="en-AU"/>
        </w:rPr>
        <w:t xml:space="preserve">to fully </w:t>
      </w:r>
      <w:r w:rsidRPr="00CF3333">
        <w:rPr>
          <w:lang w:val="en-AU"/>
        </w:rPr>
        <w:t xml:space="preserve">electronic payments, mandatory registration for high-risk providers, and a worker registration scheme designed to ensure quality and safety in disability support services.  </w:t>
      </w:r>
    </w:p>
    <w:p w14:paraId="7412E564" w14:textId="0D2F13A1" w:rsidR="00054DA3" w:rsidRPr="00CF3333" w:rsidRDefault="00054DA3" w:rsidP="00CF3333">
      <w:pPr>
        <w:rPr>
          <w:lang w:val="en-AU"/>
        </w:rPr>
      </w:pPr>
      <w:r w:rsidRPr="00CF3333">
        <w:rPr>
          <w:lang w:val="en-AU"/>
        </w:rPr>
        <w:t xml:space="preserve">The NDIS Quality and Safeguards Commission (‘NDIS Commission’) welcomed new leadership in October 2024, with Louise Glanville and Natalie Wade commencing in their roles as Commissioner and Associate Commissioner (respectively).  </w:t>
      </w:r>
    </w:p>
    <w:p w14:paraId="7B5A1F71" w14:textId="71969DE8" w:rsidR="00E34B06" w:rsidRDefault="00B9243E" w:rsidP="00CF3333">
      <w:pPr>
        <w:rPr>
          <w:lang w:val="en-AU"/>
        </w:rPr>
      </w:pPr>
      <w:r>
        <w:rPr>
          <w:lang w:val="en-AU"/>
        </w:rPr>
        <w:t>Also</w:t>
      </w:r>
      <w:r w:rsidR="00CF3333" w:rsidRPr="00CF3333">
        <w:rPr>
          <w:lang w:val="en-AU"/>
        </w:rPr>
        <w:t xml:space="preserve"> October 2024, the NDIS Commission released a </w:t>
      </w:r>
      <w:hyperlink r:id="rId21" w:history="1">
        <w:r w:rsidR="00CF3333" w:rsidRPr="00D50381">
          <w:rPr>
            <w:rStyle w:val="Hyperlink"/>
            <w:lang w:val="en-AU"/>
          </w:rPr>
          <w:t>Regulatory Reform Roadmap</w:t>
        </w:r>
      </w:hyperlink>
      <w:r w:rsidR="00CF3333" w:rsidRPr="00CF3333">
        <w:rPr>
          <w:lang w:val="en-AU"/>
        </w:rPr>
        <w:t xml:space="preserve"> setting out </w:t>
      </w:r>
      <w:r w:rsidR="001A1BF1">
        <w:rPr>
          <w:lang w:val="en-AU"/>
        </w:rPr>
        <w:t xml:space="preserve">a timetable of </w:t>
      </w:r>
      <w:r w:rsidR="00CF3333" w:rsidRPr="00CF3333">
        <w:rPr>
          <w:lang w:val="en-AU"/>
        </w:rPr>
        <w:t xml:space="preserve">reforms </w:t>
      </w:r>
      <w:r w:rsidR="00CF3333" w:rsidRPr="00CF3333" w:rsidDel="001A1BF1">
        <w:rPr>
          <w:lang w:val="en-AU"/>
        </w:rPr>
        <w:t xml:space="preserve">to </w:t>
      </w:r>
      <w:r w:rsidR="00CF3333" w:rsidRPr="00CF3333">
        <w:rPr>
          <w:lang w:val="en-AU"/>
        </w:rPr>
        <w:t>the end of 2025. The Roadmap outlines</w:t>
      </w:r>
      <w:r w:rsidR="00171833">
        <w:rPr>
          <w:lang w:val="en-AU"/>
        </w:rPr>
        <w:t>:</w:t>
      </w:r>
    </w:p>
    <w:p w14:paraId="502840AC" w14:textId="65339F08" w:rsidR="00E34B06" w:rsidRDefault="00CF3333" w:rsidP="00E34B06">
      <w:pPr>
        <w:pStyle w:val="ListParagraph"/>
        <w:numPr>
          <w:ilvl w:val="0"/>
          <w:numId w:val="41"/>
        </w:numPr>
        <w:rPr>
          <w:lang w:val="en-AU"/>
        </w:rPr>
      </w:pPr>
      <w:r w:rsidRPr="00E34B06">
        <w:rPr>
          <w:lang w:val="en-AU"/>
        </w:rPr>
        <w:t xml:space="preserve">how the NDIS Commission will implement a transition to mandatory registration of </w:t>
      </w:r>
      <w:r w:rsidR="00481CB0">
        <w:rPr>
          <w:lang w:val="en-AU"/>
        </w:rPr>
        <w:t>platform</w:t>
      </w:r>
      <w:r w:rsidR="00481CB0" w:rsidRPr="00E34B06">
        <w:rPr>
          <w:lang w:val="en-AU"/>
        </w:rPr>
        <w:t xml:space="preserve"> </w:t>
      </w:r>
      <w:r w:rsidRPr="00E34B06">
        <w:rPr>
          <w:lang w:val="en-AU"/>
        </w:rPr>
        <w:t>providers</w:t>
      </w:r>
      <w:r w:rsidR="00481CB0">
        <w:rPr>
          <w:lang w:val="en-AU"/>
        </w:rPr>
        <w:t>, supported independent living (‘SIL’) and support coordination</w:t>
      </w:r>
      <w:r w:rsidRPr="00E34B06">
        <w:rPr>
          <w:lang w:val="en-AU"/>
        </w:rPr>
        <w:t xml:space="preserve"> (set to commence sometime from 1 July 2025)</w:t>
      </w:r>
      <w:r w:rsidR="002D0F97">
        <w:rPr>
          <w:lang w:val="en-AU"/>
        </w:rPr>
        <w:t>;</w:t>
      </w:r>
      <w:r w:rsidRPr="00E34B06">
        <w:rPr>
          <w:lang w:val="en-AU"/>
        </w:rPr>
        <w:t xml:space="preserve"> and</w:t>
      </w:r>
      <w:r w:rsidR="004D15D1" w:rsidRPr="00E34B06">
        <w:rPr>
          <w:lang w:val="en-AU"/>
        </w:rPr>
        <w:t xml:space="preserve"> </w:t>
      </w:r>
    </w:p>
    <w:p w14:paraId="7780ED9C" w14:textId="29FE2A76" w:rsidR="00991846" w:rsidRPr="00991846" w:rsidRDefault="004D15D1" w:rsidP="00991846">
      <w:pPr>
        <w:pStyle w:val="ListParagraph"/>
        <w:numPr>
          <w:ilvl w:val="0"/>
          <w:numId w:val="41"/>
        </w:numPr>
        <w:rPr>
          <w:lang w:val="en-AU"/>
        </w:rPr>
      </w:pPr>
      <w:r w:rsidRPr="00E34B06">
        <w:rPr>
          <w:lang w:val="en-AU"/>
        </w:rPr>
        <w:lastRenderedPageBreak/>
        <w:t>the</w:t>
      </w:r>
      <w:r w:rsidR="00CF3333" w:rsidRPr="00E34B06">
        <w:rPr>
          <w:lang w:val="en-AU"/>
        </w:rPr>
        <w:t xml:space="preserve"> development of legislative reforms to be included in a proposed ‘Getting the NDIS Back on Track No. 2 Bill’ (‘NDIS Bill No. 2’) and associated rules and standards. </w:t>
      </w:r>
    </w:p>
    <w:p w14:paraId="6B1C0751" w14:textId="28DC7B19" w:rsidR="00CF3333" w:rsidRPr="00991846" w:rsidRDefault="002F23D4" w:rsidP="00991846">
      <w:pPr>
        <w:rPr>
          <w:lang w:val="en-AU"/>
        </w:rPr>
      </w:pPr>
      <w:r>
        <w:rPr>
          <w:lang w:val="en-AU"/>
        </w:rPr>
        <w:t>These processes have</w:t>
      </w:r>
      <w:r w:rsidR="00CF3333" w:rsidRPr="00991846">
        <w:rPr>
          <w:lang w:val="en-AU"/>
        </w:rPr>
        <w:t xml:space="preserve"> begun with public consultation and discussion papers, </w:t>
      </w:r>
      <w:r w:rsidR="00814823">
        <w:rPr>
          <w:lang w:val="en-AU"/>
        </w:rPr>
        <w:t>and</w:t>
      </w:r>
      <w:r w:rsidR="00814823" w:rsidRPr="00991846">
        <w:rPr>
          <w:lang w:val="en-AU"/>
        </w:rPr>
        <w:t xml:space="preserve"> </w:t>
      </w:r>
      <w:r w:rsidR="00CF3333" w:rsidRPr="00991846">
        <w:rPr>
          <w:lang w:val="en-AU"/>
        </w:rPr>
        <w:t xml:space="preserve">further information </w:t>
      </w:r>
      <w:r w:rsidR="00065E92">
        <w:rPr>
          <w:lang w:val="en-AU"/>
        </w:rPr>
        <w:t xml:space="preserve">is </w:t>
      </w:r>
      <w:r w:rsidR="00CF3333" w:rsidRPr="00991846">
        <w:rPr>
          <w:lang w:val="en-AU"/>
        </w:rPr>
        <w:t>expected through 2025.</w:t>
      </w:r>
    </w:p>
    <w:p w14:paraId="6E4055AA" w14:textId="0095F9C0" w:rsidR="008829CC" w:rsidRDefault="00CF3333" w:rsidP="00CF3333">
      <w:pPr>
        <w:rPr>
          <w:lang w:val="en-AU"/>
        </w:rPr>
      </w:pPr>
      <w:r w:rsidRPr="00CF3333">
        <w:rPr>
          <w:lang w:val="en-AU"/>
        </w:rPr>
        <w:t>2024 also</w:t>
      </w:r>
      <w:r w:rsidRPr="00CF3333" w:rsidDel="00523D6C">
        <w:rPr>
          <w:lang w:val="en-AU"/>
        </w:rPr>
        <w:t xml:space="preserve"> </w:t>
      </w:r>
      <w:r w:rsidR="00523D6C">
        <w:rPr>
          <w:lang w:val="en-AU"/>
        </w:rPr>
        <w:t>saw</w:t>
      </w:r>
      <w:r w:rsidR="00523D6C" w:rsidRPr="00CF3333">
        <w:rPr>
          <w:lang w:val="en-AU"/>
        </w:rPr>
        <w:t xml:space="preserve"> </w:t>
      </w:r>
      <w:r w:rsidRPr="00CF3333">
        <w:rPr>
          <w:lang w:val="en-AU"/>
        </w:rPr>
        <w:t xml:space="preserve">a focus on NDIS participant rights under the ACL. </w:t>
      </w:r>
      <w:r w:rsidR="00C70704">
        <w:rPr>
          <w:lang w:val="en-AU"/>
        </w:rPr>
        <w:t>One of the</w:t>
      </w:r>
      <w:r w:rsidRPr="00CF3333" w:rsidDel="0049479C">
        <w:rPr>
          <w:lang w:val="en-AU"/>
        </w:rPr>
        <w:t xml:space="preserve"> </w:t>
      </w:r>
      <w:hyperlink r:id="rId22" w:history="1">
        <w:r w:rsidRPr="004F73AD">
          <w:rPr>
            <w:rStyle w:val="Hyperlink"/>
            <w:lang w:val="en-AU"/>
          </w:rPr>
          <w:t>2024/25 Compliance and Enforcement Priorities</w:t>
        </w:r>
      </w:hyperlink>
      <w:r w:rsidRPr="00CF3333">
        <w:rPr>
          <w:lang w:val="en-AU"/>
        </w:rPr>
        <w:t xml:space="preserve"> </w:t>
      </w:r>
      <w:r w:rsidR="00C70704">
        <w:rPr>
          <w:lang w:val="en-AU"/>
        </w:rPr>
        <w:t xml:space="preserve">of </w:t>
      </w:r>
      <w:r w:rsidR="00A53B6C">
        <w:rPr>
          <w:lang w:val="en-AU"/>
        </w:rPr>
        <w:t xml:space="preserve">the </w:t>
      </w:r>
      <w:r w:rsidR="00D61846" w:rsidRPr="00CF3333">
        <w:rPr>
          <w:lang w:val="en-AU"/>
        </w:rPr>
        <w:t>Australian Competition and Consumer Commission (‘ACCC’)</w:t>
      </w:r>
      <w:r w:rsidR="00A53B6C">
        <w:rPr>
          <w:lang w:val="en-AU"/>
        </w:rPr>
        <w:t xml:space="preserve"> </w:t>
      </w:r>
      <w:r w:rsidRPr="00CF3333">
        <w:rPr>
          <w:lang w:val="en-AU"/>
        </w:rPr>
        <w:t>is improving NDIS providers</w:t>
      </w:r>
      <w:r w:rsidR="00921067">
        <w:rPr>
          <w:lang w:val="en-AU"/>
        </w:rPr>
        <w:t>’ compliance</w:t>
      </w:r>
      <w:r w:rsidRPr="00CF3333">
        <w:rPr>
          <w:lang w:val="en-AU"/>
        </w:rPr>
        <w:t xml:space="preserve"> with their ACL obligations. In November 2024, the ACCC </w:t>
      </w:r>
      <w:hyperlink r:id="rId23" w:history="1">
        <w:r w:rsidRPr="00DE3D8B">
          <w:rPr>
            <w:rStyle w:val="Hyperlink"/>
            <w:lang w:val="en-AU"/>
          </w:rPr>
          <w:t>announced</w:t>
        </w:r>
      </w:hyperlink>
      <w:r w:rsidRPr="00CF3333">
        <w:rPr>
          <w:lang w:val="en-AU"/>
        </w:rPr>
        <w:t xml:space="preserve"> </w:t>
      </w:r>
      <w:r w:rsidR="00247A50">
        <w:rPr>
          <w:lang w:val="en-AU"/>
        </w:rPr>
        <w:t>a</w:t>
      </w:r>
      <w:r w:rsidRPr="00CF3333">
        <w:rPr>
          <w:lang w:val="en-AU"/>
        </w:rPr>
        <w:t xml:space="preserve"> focus on </w:t>
      </w:r>
      <w:r w:rsidR="00247A50">
        <w:rPr>
          <w:lang w:val="en-AU"/>
        </w:rPr>
        <w:t xml:space="preserve">addressing </w:t>
      </w:r>
      <w:r w:rsidRPr="00CF3333">
        <w:rPr>
          <w:lang w:val="en-AU"/>
        </w:rPr>
        <w:t xml:space="preserve">problematic advertising practices targeting NDIS participants. On 13 December 2024, the ACCC </w:t>
      </w:r>
      <w:r w:rsidR="00EE4125">
        <w:rPr>
          <w:lang w:val="en-AU"/>
        </w:rPr>
        <w:t>filed a case</w:t>
      </w:r>
      <w:r w:rsidRPr="00CF3333" w:rsidDel="00C47B22">
        <w:rPr>
          <w:lang w:val="en-AU"/>
        </w:rPr>
        <w:t xml:space="preserve"> </w:t>
      </w:r>
      <w:r w:rsidRPr="00CF3333">
        <w:rPr>
          <w:lang w:val="en-AU"/>
        </w:rPr>
        <w:t xml:space="preserve">against a registered NDIS provider </w:t>
      </w:r>
      <w:r w:rsidR="00C47B22" w:rsidRPr="00CF3333">
        <w:rPr>
          <w:lang w:val="en-AU"/>
        </w:rPr>
        <w:t>in the Federal Court</w:t>
      </w:r>
      <w:r w:rsidR="003137ED">
        <w:rPr>
          <w:lang w:val="en-AU"/>
        </w:rPr>
        <w:t>,</w:t>
      </w:r>
      <w:r w:rsidR="00C47B22" w:rsidRPr="00CF3333">
        <w:rPr>
          <w:lang w:val="en-AU"/>
        </w:rPr>
        <w:t xml:space="preserve"> </w:t>
      </w:r>
      <w:r w:rsidRPr="00CF3333">
        <w:rPr>
          <w:lang w:val="en-AU"/>
        </w:rPr>
        <w:t xml:space="preserve">for alleged false and misleading statements </w:t>
      </w:r>
      <w:r w:rsidR="00F40EEB">
        <w:rPr>
          <w:lang w:val="en-AU"/>
        </w:rPr>
        <w:t>about</w:t>
      </w:r>
      <w:r w:rsidR="00F40EEB" w:rsidRPr="00CF3333">
        <w:rPr>
          <w:lang w:val="en-AU"/>
        </w:rPr>
        <w:t xml:space="preserve"> </w:t>
      </w:r>
      <w:r w:rsidRPr="00CF3333">
        <w:rPr>
          <w:lang w:val="en-AU"/>
        </w:rPr>
        <w:t xml:space="preserve">the sale of aged care and disability products, including </w:t>
      </w:r>
      <w:r w:rsidR="00E1369D">
        <w:rPr>
          <w:lang w:val="en-AU"/>
        </w:rPr>
        <w:t>in relation to</w:t>
      </w:r>
      <w:r w:rsidR="00E1369D" w:rsidRPr="00CF3333">
        <w:rPr>
          <w:lang w:val="en-AU"/>
        </w:rPr>
        <w:t xml:space="preserve"> </w:t>
      </w:r>
      <w:r w:rsidRPr="00CF3333">
        <w:rPr>
          <w:lang w:val="en-AU"/>
        </w:rPr>
        <w:t>price and assertions certain products were ‘NDIS approved’. We expect to see this enforcement focus continue in 2025.</w:t>
      </w:r>
    </w:p>
    <w:p w14:paraId="2EAA3AAF" w14:textId="5DC0511F" w:rsidR="00CF3333" w:rsidRDefault="00CF3333" w:rsidP="00CF3333">
      <w:pPr>
        <w:pStyle w:val="NumberedHeading1"/>
        <w:rPr>
          <w:lang w:val="en-AU"/>
        </w:rPr>
      </w:pPr>
      <w:bookmarkStart w:id="22" w:name="_Toc190427219"/>
      <w:r>
        <w:rPr>
          <w:lang w:val="en-AU"/>
        </w:rPr>
        <w:t>Response to the Disability Royal Commission</w:t>
      </w:r>
      <w:bookmarkEnd w:id="22"/>
    </w:p>
    <w:p w14:paraId="6688DFC2" w14:textId="49A95BBE" w:rsidR="00FD5CD7" w:rsidRPr="00FD5CD7" w:rsidRDefault="00FD5CD7" w:rsidP="00FD5CD7">
      <w:pPr>
        <w:rPr>
          <w:lang w:val="en-AU"/>
        </w:rPr>
      </w:pPr>
      <w:r w:rsidRPr="00FD5CD7">
        <w:rPr>
          <w:lang w:val="en-AU"/>
        </w:rPr>
        <w:t xml:space="preserve">In July 2024, the Australian Government </w:t>
      </w:r>
      <w:r w:rsidR="005617F1">
        <w:rPr>
          <w:lang w:val="en-AU"/>
        </w:rPr>
        <w:t>released</w:t>
      </w:r>
      <w:r w:rsidR="005617F1" w:rsidRPr="00FD5CD7">
        <w:rPr>
          <w:lang w:val="en-AU"/>
        </w:rPr>
        <w:t xml:space="preserve"> </w:t>
      </w:r>
      <w:r w:rsidRPr="00FD5CD7">
        <w:rPr>
          <w:lang w:val="en-AU"/>
        </w:rPr>
        <w:t xml:space="preserve">its </w:t>
      </w:r>
      <w:hyperlink r:id="rId24" w:history="1">
        <w:r w:rsidRPr="005617F1">
          <w:rPr>
            <w:rStyle w:val="Hyperlink"/>
            <w:lang w:val="en-AU"/>
          </w:rPr>
          <w:t>response</w:t>
        </w:r>
      </w:hyperlink>
      <w:r w:rsidRPr="00FD5CD7">
        <w:rPr>
          <w:lang w:val="en-AU"/>
        </w:rPr>
        <w:t xml:space="preserve"> to the Disability Royal Commission Final Report. Of the 172 recommendations within the Australian Government’s primary or shared responsibility, the Government accepted 130 recommendations outright or in principle, indicated it was considering a further 36 recommendations, and noted 6 recommendations. Many people with disability expressed disappointment at the limited adoption of the recommendations and lack of immediate action taken to address the problems identified by the Report.</w:t>
      </w:r>
    </w:p>
    <w:p w14:paraId="4EFD8E1D" w14:textId="00F363D2" w:rsidR="00170F19" w:rsidRDefault="003A43B1" w:rsidP="002A4720">
      <w:pPr>
        <w:rPr>
          <w:lang w:val="en-AU"/>
        </w:rPr>
      </w:pPr>
      <w:r>
        <w:rPr>
          <w:lang w:val="en-AU"/>
        </w:rPr>
        <w:t xml:space="preserve">The Government has committed funding towards </w:t>
      </w:r>
      <w:r w:rsidR="00446757">
        <w:rPr>
          <w:lang w:val="en-AU"/>
        </w:rPr>
        <w:t>a</w:t>
      </w:r>
      <w:r>
        <w:rPr>
          <w:lang w:val="en-AU"/>
        </w:rPr>
        <w:t xml:space="preserve"> first phase of measures</w:t>
      </w:r>
      <w:r w:rsidR="00DB3DD0">
        <w:rPr>
          <w:lang w:val="en-AU"/>
        </w:rPr>
        <w:t xml:space="preserve"> responding to recommendations</w:t>
      </w:r>
      <w:r w:rsidR="00D25BF2">
        <w:rPr>
          <w:lang w:val="en-AU"/>
        </w:rPr>
        <w:t>.</w:t>
      </w:r>
      <w:r>
        <w:rPr>
          <w:lang w:val="en-AU"/>
        </w:rPr>
        <w:t xml:space="preserve"> </w:t>
      </w:r>
      <w:r w:rsidR="00D25BF2">
        <w:rPr>
          <w:lang w:val="en-AU"/>
        </w:rPr>
        <w:t>These</w:t>
      </w:r>
      <w:r w:rsidR="00A71C67">
        <w:rPr>
          <w:lang w:val="en-AU"/>
        </w:rPr>
        <w:t xml:space="preserve"> include</w:t>
      </w:r>
      <w:r>
        <w:rPr>
          <w:lang w:val="en-AU"/>
        </w:rPr>
        <w:t xml:space="preserve"> reforms relevant for NDIS participants</w:t>
      </w:r>
      <w:r w:rsidR="00D00AD2">
        <w:rPr>
          <w:lang w:val="en-AU"/>
        </w:rPr>
        <w:t>,</w:t>
      </w:r>
      <w:r>
        <w:rPr>
          <w:lang w:val="en-AU"/>
        </w:rPr>
        <w:t xml:space="preserve"> such as targets to reduce and eliminate restrictive practices</w:t>
      </w:r>
      <w:r w:rsidR="009F7545">
        <w:rPr>
          <w:lang w:val="en-AU"/>
        </w:rPr>
        <w:t xml:space="preserve"> by providers</w:t>
      </w:r>
      <w:r>
        <w:rPr>
          <w:lang w:val="en-AU"/>
        </w:rPr>
        <w:t xml:space="preserve"> and </w:t>
      </w:r>
      <w:r w:rsidR="00AF7492">
        <w:rPr>
          <w:lang w:val="en-AU"/>
        </w:rPr>
        <w:t>enhancing</w:t>
      </w:r>
      <w:r>
        <w:rPr>
          <w:lang w:val="en-AU"/>
        </w:rPr>
        <w:t xml:space="preserve"> independent oversight </w:t>
      </w:r>
      <w:r w:rsidR="002D2DEB">
        <w:rPr>
          <w:lang w:val="en-AU"/>
        </w:rPr>
        <w:t xml:space="preserve">of disability services </w:t>
      </w:r>
      <w:r>
        <w:rPr>
          <w:lang w:val="en-AU"/>
        </w:rPr>
        <w:t xml:space="preserve">and complaint mechanisms. </w:t>
      </w:r>
    </w:p>
    <w:p w14:paraId="117CA2D3" w14:textId="4B749AD6" w:rsidR="00CF3333" w:rsidRDefault="00587D4D" w:rsidP="00FD5CD7">
      <w:pPr>
        <w:rPr>
          <w:lang w:val="en-AU"/>
        </w:rPr>
      </w:pPr>
      <w:r>
        <w:rPr>
          <w:lang w:val="en-AU"/>
        </w:rPr>
        <w:t>Given</w:t>
      </w:r>
      <w:r w:rsidR="0089211F">
        <w:rPr>
          <w:lang w:val="en-AU"/>
        </w:rPr>
        <w:t xml:space="preserve"> </w:t>
      </w:r>
      <w:r w:rsidR="00FD5CD7" w:rsidRPr="00FD5CD7">
        <w:rPr>
          <w:lang w:val="en-AU"/>
        </w:rPr>
        <w:t>the number of recommendations</w:t>
      </w:r>
      <w:r w:rsidR="006F3467">
        <w:rPr>
          <w:lang w:val="en-AU"/>
        </w:rPr>
        <w:t xml:space="preserve"> still </w:t>
      </w:r>
      <w:r w:rsidR="00756B52">
        <w:rPr>
          <w:lang w:val="en-AU"/>
        </w:rPr>
        <w:t>being considered</w:t>
      </w:r>
      <w:r w:rsidR="0089211F">
        <w:rPr>
          <w:lang w:val="en-AU"/>
        </w:rPr>
        <w:t>,</w:t>
      </w:r>
      <w:r w:rsidR="003F2FAB">
        <w:rPr>
          <w:lang w:val="en-AU"/>
        </w:rPr>
        <w:t xml:space="preserve"> the</w:t>
      </w:r>
      <w:r w:rsidR="00F34782">
        <w:rPr>
          <w:lang w:val="en-AU"/>
        </w:rPr>
        <w:t xml:space="preserve"> Government </w:t>
      </w:r>
      <w:r w:rsidR="003F2FAB">
        <w:rPr>
          <w:lang w:val="en-AU"/>
        </w:rPr>
        <w:t>need</w:t>
      </w:r>
      <w:r w:rsidR="009177FA">
        <w:rPr>
          <w:lang w:val="en-AU"/>
        </w:rPr>
        <w:t>s</w:t>
      </w:r>
      <w:r w:rsidR="003F2FAB">
        <w:rPr>
          <w:lang w:val="en-AU"/>
        </w:rPr>
        <w:t xml:space="preserve"> to take further action</w:t>
      </w:r>
      <w:r w:rsidR="005C11A4">
        <w:rPr>
          <w:lang w:val="en-AU"/>
        </w:rPr>
        <w:t xml:space="preserve"> to adequately respond </w:t>
      </w:r>
      <w:r w:rsidR="00F20FAF">
        <w:rPr>
          <w:lang w:val="en-AU"/>
        </w:rPr>
        <w:t>to the Report</w:t>
      </w:r>
      <w:r w:rsidR="00FD5CD7" w:rsidRPr="00FD5CD7">
        <w:rPr>
          <w:lang w:val="en-AU"/>
        </w:rPr>
        <w:t>.</w:t>
      </w:r>
    </w:p>
    <w:p w14:paraId="39E60E7B" w14:textId="03010BBB" w:rsidR="001C54B6" w:rsidRDefault="000E1F1E" w:rsidP="00FD5CD7">
      <w:pPr>
        <w:pStyle w:val="NumberedHeading1"/>
        <w:rPr>
          <w:lang w:val="en-AU"/>
        </w:rPr>
      </w:pPr>
      <w:bookmarkStart w:id="23" w:name="_Toc190427220"/>
      <w:r>
        <w:rPr>
          <w:lang w:val="en-AU"/>
        </w:rPr>
        <w:t xml:space="preserve">Court </w:t>
      </w:r>
      <w:r w:rsidR="0041073B">
        <w:rPr>
          <w:lang w:val="en-AU"/>
        </w:rPr>
        <w:t xml:space="preserve">and Tribunal </w:t>
      </w:r>
      <w:r>
        <w:rPr>
          <w:lang w:val="en-AU"/>
        </w:rPr>
        <w:t>decisions</w:t>
      </w:r>
      <w:bookmarkEnd w:id="23"/>
      <w:r>
        <w:rPr>
          <w:lang w:val="en-AU"/>
        </w:rPr>
        <w:t xml:space="preserve"> </w:t>
      </w:r>
    </w:p>
    <w:p w14:paraId="59E02CD7" w14:textId="51686555" w:rsidR="00AD0632" w:rsidRDefault="00AD0632" w:rsidP="00AD0632">
      <w:r>
        <w:t xml:space="preserve">NDIS </w:t>
      </w:r>
      <w:r w:rsidR="00770032">
        <w:t xml:space="preserve">caselaw </w:t>
      </w:r>
      <w:r>
        <w:t xml:space="preserve">continued to develop </w:t>
      </w:r>
      <w:r w:rsidR="00A1304D">
        <w:t>in</w:t>
      </w:r>
      <w:r>
        <w:t xml:space="preserve"> 2024, </w:t>
      </w:r>
      <w:r w:rsidR="00FD2C39">
        <w:t xml:space="preserve">through </w:t>
      </w:r>
      <w:r w:rsidR="004E3224">
        <w:t>F</w:t>
      </w:r>
      <w:r>
        <w:t xml:space="preserve">ederal </w:t>
      </w:r>
      <w:r w:rsidR="004E3224">
        <w:t>C</w:t>
      </w:r>
      <w:r>
        <w:t>ourt and Tribunal</w:t>
      </w:r>
      <w:r w:rsidDel="00474119">
        <w:t xml:space="preserve"> </w:t>
      </w:r>
      <w:r w:rsidDel="004E3224">
        <w:t xml:space="preserve">decisions </w:t>
      </w:r>
      <w:r>
        <w:t xml:space="preserve">interpreting and applying the Scheme’s legislation. While the new </w:t>
      </w:r>
      <w:r w:rsidR="00ED3D45">
        <w:t>NDIS laws</w:t>
      </w:r>
      <w:r>
        <w:t xml:space="preserve"> and planning processes </w:t>
      </w:r>
      <w:r w:rsidR="00355370">
        <w:t xml:space="preserve">will change </w:t>
      </w:r>
      <w:r w:rsidR="00ED3D45">
        <w:t>how decisions are made</w:t>
      </w:r>
      <w:r w:rsidR="00355370">
        <w:t xml:space="preserve"> in a range of circumstances</w:t>
      </w:r>
      <w:r>
        <w:t xml:space="preserve">, these </w:t>
      </w:r>
      <w:r w:rsidR="0037065F">
        <w:t xml:space="preserve">cases </w:t>
      </w:r>
      <w:r>
        <w:t>contain key statements of enduring relevance to the NDIS’ underlying philosophy and principles, as well as lessons for the new ART.</w:t>
      </w:r>
    </w:p>
    <w:p w14:paraId="082529D2" w14:textId="77777777" w:rsidR="00AD0632" w:rsidRDefault="00AD0632" w:rsidP="00647588">
      <w:pPr>
        <w:pStyle w:val="NumberedHeading2"/>
      </w:pPr>
      <w:bookmarkStart w:id="24" w:name="_Toc190427221"/>
      <w:r>
        <w:t>Federal Court decisions</w:t>
      </w:r>
      <w:bookmarkEnd w:id="24"/>
    </w:p>
    <w:p w14:paraId="14C21E7B" w14:textId="3B859AA0" w:rsidR="00AD0632" w:rsidRDefault="00AD0632" w:rsidP="00AD0632">
      <w:r>
        <w:t xml:space="preserve">In </w:t>
      </w:r>
      <w:hyperlink r:id="rId25">
        <w:r w:rsidRPr="7CA1023E">
          <w:rPr>
            <w:rStyle w:val="Hyperlink"/>
            <w:i/>
            <w:iCs/>
          </w:rPr>
          <w:t>Warwick v NDIA</w:t>
        </w:r>
        <w:r w:rsidRPr="7CA1023E">
          <w:rPr>
            <w:rStyle w:val="Hyperlink"/>
          </w:rPr>
          <w:t xml:space="preserve"> [2024] FCA 616</w:t>
        </w:r>
      </w:hyperlink>
      <w:r>
        <w:t xml:space="preserve">, the Federal Court considered an appeal from an AAT decision </w:t>
      </w:r>
      <w:r w:rsidR="00971ABD">
        <w:t>to refuse</w:t>
      </w:r>
      <w:r w:rsidDel="00596C07">
        <w:t xml:space="preserve"> </w:t>
      </w:r>
      <w:r w:rsidR="00596C07">
        <w:t xml:space="preserve">NDIS </w:t>
      </w:r>
      <w:r>
        <w:t>fund</w:t>
      </w:r>
      <w:r w:rsidR="00596C07">
        <w:t>ing for</w:t>
      </w:r>
      <w:r>
        <w:t xml:space="preserve"> the costs associated with an applicant moving house (including real estate agent costs, removalist fees, conveyancing fees and stamp duty). The Tribunal’s refusal was based on its characterisation of moving costs as ‘day-to-day living costs’, </w:t>
      </w:r>
      <w:r w:rsidR="00CA42D6">
        <w:t>which are</w:t>
      </w:r>
      <w:r>
        <w:t xml:space="preserve"> excluded </w:t>
      </w:r>
      <w:r w:rsidR="00731D7E">
        <w:t xml:space="preserve">from NDIS funding </w:t>
      </w:r>
      <w:r>
        <w:t xml:space="preserve">by rule 5.1(d) of the </w:t>
      </w:r>
      <w:r w:rsidRPr="7CA1023E">
        <w:rPr>
          <w:i/>
          <w:iCs/>
        </w:rPr>
        <w:t xml:space="preserve">NDIS (Supports for Participants) Rules 2013 </w:t>
      </w:r>
      <w:r>
        <w:t xml:space="preserve">(Cth). </w:t>
      </w:r>
    </w:p>
    <w:p w14:paraId="76180935" w14:textId="73884F0C" w:rsidR="00AD0632" w:rsidRDefault="00AD0632" w:rsidP="00AD0632">
      <w:r>
        <w:lastRenderedPageBreak/>
        <w:t>The Federal Court found the term ‘day-to-day living costs’ meant ‘</w:t>
      </w:r>
      <w:r w:rsidRPr="00823495">
        <w:t>those everyday expenses which are incurred in the course of living for the purpose of living</w:t>
      </w:r>
      <w:r>
        <w:t>’. With this definition, it was obvious Mr Warwick’s moving costs were not ‘day-to-day living costs’ (like rent, groceries and utility fees) because selling a house and buying a new one is not an everyday expense. Because of this, the Federal Court found the AAT had misinterpreted the law, and overturned the AAT’s decision.</w:t>
      </w:r>
    </w:p>
    <w:p w14:paraId="13261CC2" w14:textId="483E6B4F" w:rsidR="00AD0632" w:rsidRDefault="00AD0632" w:rsidP="00AD0632">
      <w:r>
        <w:t xml:space="preserve">This finding is significant as many items </w:t>
      </w:r>
      <w:r w:rsidR="00904C32">
        <w:t xml:space="preserve">now </w:t>
      </w:r>
      <w:r>
        <w:t xml:space="preserve">excluded from </w:t>
      </w:r>
      <w:r w:rsidR="00904C32">
        <w:t xml:space="preserve">the </w:t>
      </w:r>
      <w:r>
        <w:t xml:space="preserve">NDIS supports </w:t>
      </w:r>
      <w:r w:rsidR="00904C32">
        <w:t xml:space="preserve">list </w:t>
      </w:r>
      <w:r>
        <w:t xml:space="preserve">are </w:t>
      </w:r>
      <w:r w:rsidR="00993D5E">
        <w:t>described</w:t>
      </w:r>
      <w:r>
        <w:t xml:space="preserve"> as ‘day-to-day living costs’. The Federal Court’s interpretation of what ‘day-to-day living costs’ means in the context of the NDIS may influence the interpretation and application of </w:t>
      </w:r>
      <w:r w:rsidR="00432DBB">
        <w:t xml:space="preserve">the </w:t>
      </w:r>
      <w:r w:rsidR="00767F6E">
        <w:t xml:space="preserve">NDIS </w:t>
      </w:r>
      <w:r>
        <w:t>supports lists. The NDIA has appealed the decision to the Full Federal Court, with a hearing to take place in March 2025.</w:t>
      </w:r>
    </w:p>
    <w:p w14:paraId="382A0489" w14:textId="6766FE54" w:rsidR="00AD0632" w:rsidRPr="00C71208" w:rsidRDefault="00AD0632" w:rsidP="00AD0632">
      <w:pPr>
        <w:rPr>
          <w:lang w:val="en-AU"/>
        </w:rPr>
      </w:pPr>
      <w:r>
        <w:t xml:space="preserve">In </w:t>
      </w:r>
      <w:hyperlink r:id="rId26">
        <w:r w:rsidRPr="7CA1023E">
          <w:rPr>
            <w:rStyle w:val="Hyperlink"/>
            <w:i/>
            <w:iCs/>
            <w:lang w:val="en-AU"/>
          </w:rPr>
          <w:t>Kelly v NDIA</w:t>
        </w:r>
        <w:r w:rsidRPr="7CA1023E">
          <w:rPr>
            <w:rStyle w:val="Hyperlink"/>
            <w:lang w:val="en-AU"/>
          </w:rPr>
          <w:t xml:space="preserve"> [2024] FCA 1462</w:t>
        </w:r>
      </w:hyperlink>
      <w:r w:rsidRPr="7CA1023E">
        <w:rPr>
          <w:lang w:val="en-AU"/>
        </w:rPr>
        <w:t xml:space="preserve">, the Federal Court settled an issue about whether parts of the </w:t>
      </w:r>
      <w:r w:rsidRPr="7CA1023E">
        <w:rPr>
          <w:i/>
          <w:iCs/>
          <w:lang w:val="en-AU"/>
        </w:rPr>
        <w:t>NDIS (Becoming a Participant) Rules 2016</w:t>
      </w:r>
      <w:r w:rsidRPr="7CA1023E">
        <w:rPr>
          <w:lang w:val="en-AU"/>
        </w:rPr>
        <w:t xml:space="preserve"> (Cth) were valid. </w:t>
      </w:r>
      <w:r w:rsidR="006B7E2B">
        <w:rPr>
          <w:lang w:val="en-AU"/>
        </w:rPr>
        <w:t>I</w:t>
      </w:r>
      <w:r w:rsidR="006B7E2B" w:rsidRPr="7CA1023E">
        <w:rPr>
          <w:lang w:val="en-AU"/>
        </w:rPr>
        <w:t xml:space="preserve">n </w:t>
      </w:r>
      <w:r w:rsidRPr="7CA1023E">
        <w:rPr>
          <w:lang w:val="en-AU"/>
        </w:rPr>
        <w:t xml:space="preserve">the 2022 case of </w:t>
      </w:r>
      <w:hyperlink r:id="rId27" w:history="1">
        <w:r w:rsidRPr="00BA2037">
          <w:rPr>
            <w:rStyle w:val="Hyperlink"/>
            <w:i/>
            <w:iCs/>
            <w:lang w:val="en-AU"/>
          </w:rPr>
          <w:t>NDIA v Davis</w:t>
        </w:r>
      </w:hyperlink>
      <w:r w:rsidR="006B7E2B">
        <w:rPr>
          <w:lang w:val="en-AU"/>
        </w:rPr>
        <w:t xml:space="preserve">, a different </w:t>
      </w:r>
      <w:r w:rsidR="001A04DF">
        <w:rPr>
          <w:lang w:val="en-AU"/>
        </w:rPr>
        <w:t>judge</w:t>
      </w:r>
      <w:r w:rsidR="00533B38">
        <w:rPr>
          <w:lang w:val="en-AU"/>
        </w:rPr>
        <w:t xml:space="preserve"> </w:t>
      </w:r>
      <w:r w:rsidRPr="7CA1023E">
        <w:rPr>
          <w:lang w:val="en-AU"/>
        </w:rPr>
        <w:t xml:space="preserve">questioned the validity of </w:t>
      </w:r>
      <w:r w:rsidR="004076A9">
        <w:rPr>
          <w:lang w:val="en-AU"/>
        </w:rPr>
        <w:t xml:space="preserve">certain parts of </w:t>
      </w:r>
      <w:r w:rsidRPr="7CA1023E">
        <w:rPr>
          <w:lang w:val="en-AU"/>
        </w:rPr>
        <w:t xml:space="preserve">the </w:t>
      </w:r>
      <w:r w:rsidRPr="004076A9">
        <w:rPr>
          <w:i/>
          <w:iCs/>
          <w:lang w:val="en-AU"/>
        </w:rPr>
        <w:t>Rules</w:t>
      </w:r>
      <w:r w:rsidRPr="7CA1023E">
        <w:rPr>
          <w:lang w:val="en-AU"/>
        </w:rPr>
        <w:t xml:space="preserve"> that referred to the </w:t>
      </w:r>
      <w:r w:rsidR="00684B8F">
        <w:rPr>
          <w:lang w:val="en-AU"/>
        </w:rPr>
        <w:t>permanency of</w:t>
      </w:r>
      <w:r w:rsidRPr="7CA1023E">
        <w:rPr>
          <w:lang w:val="en-AU"/>
        </w:rPr>
        <w:t xml:space="preserve"> a person’s impairments</w:t>
      </w:r>
      <w:r w:rsidR="0092289E">
        <w:rPr>
          <w:lang w:val="en-AU"/>
        </w:rPr>
        <w:t xml:space="preserve"> but was not required to make any determination</w:t>
      </w:r>
      <w:r w:rsidR="001E685B">
        <w:rPr>
          <w:lang w:val="en-AU"/>
        </w:rPr>
        <w:t xml:space="preserve"> on that issue</w:t>
      </w:r>
      <w:r w:rsidR="00692620">
        <w:rPr>
          <w:lang w:val="en-AU"/>
        </w:rPr>
        <w:t xml:space="preserve"> to decide the case</w:t>
      </w:r>
      <w:r w:rsidR="001A04DF">
        <w:rPr>
          <w:lang w:val="en-AU"/>
        </w:rPr>
        <w:t>.</w:t>
      </w:r>
      <w:r w:rsidRPr="7CA1023E">
        <w:rPr>
          <w:lang w:val="en-AU"/>
        </w:rPr>
        <w:t xml:space="preserve"> </w:t>
      </w:r>
      <w:r w:rsidR="00692620">
        <w:rPr>
          <w:lang w:val="en-AU"/>
        </w:rPr>
        <w:t>I</w:t>
      </w:r>
      <w:r w:rsidRPr="7CA1023E">
        <w:rPr>
          <w:lang w:val="en-AU"/>
        </w:rPr>
        <w:t xml:space="preserve">n </w:t>
      </w:r>
      <w:r w:rsidRPr="7CA1023E">
        <w:rPr>
          <w:i/>
          <w:iCs/>
          <w:lang w:val="en-AU"/>
        </w:rPr>
        <w:t>Kelly</w:t>
      </w:r>
      <w:r w:rsidR="00692620">
        <w:rPr>
          <w:lang w:val="en-AU"/>
        </w:rPr>
        <w:t>, the Court</w:t>
      </w:r>
      <w:r w:rsidRPr="7CA1023E">
        <w:rPr>
          <w:lang w:val="en-AU"/>
        </w:rPr>
        <w:t xml:space="preserve"> decided these parts of the </w:t>
      </w:r>
      <w:r w:rsidRPr="00CC49CD">
        <w:rPr>
          <w:lang w:val="en-AU"/>
        </w:rPr>
        <w:t>Rules</w:t>
      </w:r>
      <w:r w:rsidRPr="7CA1023E">
        <w:rPr>
          <w:lang w:val="en-AU"/>
        </w:rPr>
        <w:t xml:space="preserve"> were validly made and not inconsistent with the </w:t>
      </w:r>
      <w:r w:rsidRPr="00CC49CD">
        <w:rPr>
          <w:lang w:val="en-AU"/>
        </w:rPr>
        <w:t>NDIS Act</w:t>
      </w:r>
      <w:r w:rsidR="00FD778F">
        <w:rPr>
          <w:lang w:val="en-AU"/>
        </w:rPr>
        <w:t>,</w:t>
      </w:r>
      <w:r w:rsidR="00DF3710">
        <w:rPr>
          <w:lang w:val="en-AU"/>
        </w:rPr>
        <w:t xml:space="preserve"> clarif</w:t>
      </w:r>
      <w:r w:rsidR="00FD778F">
        <w:rPr>
          <w:lang w:val="en-AU"/>
        </w:rPr>
        <w:t>ying</w:t>
      </w:r>
      <w:r w:rsidR="00DF3710">
        <w:rPr>
          <w:lang w:val="en-AU"/>
        </w:rPr>
        <w:t xml:space="preserve"> </w:t>
      </w:r>
      <w:r w:rsidR="002250B0">
        <w:rPr>
          <w:lang w:val="en-AU"/>
        </w:rPr>
        <w:t xml:space="preserve">the uncertainty that arose in </w:t>
      </w:r>
      <w:r w:rsidR="002250B0" w:rsidRPr="00CC49CD">
        <w:rPr>
          <w:i/>
          <w:lang w:val="en-AU"/>
        </w:rPr>
        <w:t>Davis</w:t>
      </w:r>
      <w:r w:rsidR="009C3C92">
        <w:rPr>
          <w:lang w:val="en-AU"/>
        </w:rPr>
        <w:t>.</w:t>
      </w:r>
    </w:p>
    <w:p w14:paraId="3EFCCF3D" w14:textId="3945195C" w:rsidR="00AD0632" w:rsidRDefault="00A64B88" w:rsidP="00647588">
      <w:pPr>
        <w:pStyle w:val="NumberedHeading2"/>
      </w:pPr>
      <w:bookmarkStart w:id="25" w:name="_Toc190427222"/>
      <w:r>
        <w:t>Specialist Disability Accommodation and other housing supports</w:t>
      </w:r>
      <w:bookmarkEnd w:id="25"/>
    </w:p>
    <w:p w14:paraId="03A73E57" w14:textId="77777777" w:rsidR="00AD0632" w:rsidRDefault="00AD0632" w:rsidP="00AD0632">
      <w:r>
        <w:t xml:space="preserve">The distinct nature of decision-making about funding Specialist Disability Accommodation (‘SDA’) has not been altered by recent legislative changes, and the relevant </w:t>
      </w:r>
      <w:r w:rsidRPr="7CA1023E">
        <w:rPr>
          <w:i/>
          <w:iCs/>
        </w:rPr>
        <w:t xml:space="preserve">NDIS (Specialist Disability Accommodation) Rules 2020 </w:t>
      </w:r>
      <w:r>
        <w:t>(Cth) were applied by the AAT in several decisions in 2024. As in previous years, many SDA decisions concerned participants seeking SDA that suited their life stage and needs.</w:t>
      </w:r>
    </w:p>
    <w:p w14:paraId="420F47A7" w14:textId="1C897F8D" w:rsidR="00AD0632" w:rsidRDefault="00AD0632" w:rsidP="00AD0632">
      <w:pPr>
        <w:rPr>
          <w:lang w:val="en-AU"/>
        </w:rPr>
      </w:pPr>
      <w:r w:rsidRPr="7CA1023E">
        <w:rPr>
          <w:lang w:val="en-AU"/>
        </w:rPr>
        <w:t>In</w:t>
      </w:r>
      <w:r w:rsidRPr="7CA1023E" w:rsidDel="008D471D">
        <w:rPr>
          <w:lang w:val="en-AU"/>
        </w:rPr>
        <w:t xml:space="preserve"> </w:t>
      </w:r>
      <w:hyperlink r:id="rId28">
        <w:r w:rsidRPr="7CA1023E">
          <w:rPr>
            <w:rStyle w:val="Hyperlink"/>
            <w:i/>
            <w:iCs/>
            <w:lang w:val="en-AU"/>
          </w:rPr>
          <w:t xml:space="preserve">Lougher and NDIA </w:t>
        </w:r>
        <w:r w:rsidRPr="7CA1023E">
          <w:rPr>
            <w:rStyle w:val="Hyperlink"/>
            <w:lang w:val="en-AU"/>
          </w:rPr>
          <w:t>[2024] AATA 1057</w:t>
        </w:r>
      </w:hyperlink>
      <w:r>
        <w:t>,</w:t>
      </w:r>
      <w:r w:rsidRPr="7CA1023E">
        <w:rPr>
          <w:lang w:val="en-AU"/>
        </w:rPr>
        <w:t xml:space="preserve"> the AAT </w:t>
      </w:r>
      <w:r w:rsidR="00A56FA3">
        <w:rPr>
          <w:lang w:val="en-AU"/>
        </w:rPr>
        <w:t xml:space="preserve">set aside </w:t>
      </w:r>
      <w:r w:rsidR="00547F26">
        <w:rPr>
          <w:lang w:val="en-AU"/>
        </w:rPr>
        <w:t>the</w:t>
      </w:r>
      <w:r w:rsidR="00A56FA3">
        <w:rPr>
          <w:lang w:val="en-AU"/>
        </w:rPr>
        <w:t xml:space="preserve"> NDIA</w:t>
      </w:r>
      <w:r w:rsidR="00547F26">
        <w:rPr>
          <w:lang w:val="en-AU"/>
        </w:rPr>
        <w:t>’s</w:t>
      </w:r>
      <w:r w:rsidR="00A56FA3">
        <w:rPr>
          <w:lang w:val="en-AU"/>
        </w:rPr>
        <w:t xml:space="preserve"> decision </w:t>
      </w:r>
      <w:r w:rsidR="00EA534B">
        <w:rPr>
          <w:lang w:val="en-AU"/>
        </w:rPr>
        <w:t>and agreed with the</w:t>
      </w:r>
      <w:r w:rsidR="00A56FA3">
        <w:rPr>
          <w:lang w:val="en-AU"/>
        </w:rPr>
        <w:t xml:space="preserve"> </w:t>
      </w:r>
      <w:r w:rsidRPr="7CA1023E">
        <w:rPr>
          <w:lang w:val="en-AU"/>
        </w:rPr>
        <w:t xml:space="preserve">participant’s </w:t>
      </w:r>
      <w:r w:rsidR="003B013C">
        <w:rPr>
          <w:lang w:val="en-AU"/>
        </w:rPr>
        <w:t xml:space="preserve">request </w:t>
      </w:r>
      <w:r w:rsidR="00F1324B">
        <w:rPr>
          <w:lang w:val="en-AU"/>
        </w:rPr>
        <w:t xml:space="preserve">for funding </w:t>
      </w:r>
      <w:r w:rsidRPr="7CA1023E">
        <w:rPr>
          <w:lang w:val="en-AU"/>
        </w:rPr>
        <w:t xml:space="preserve">to live alone in SDA. The applicant has multiple disabilities leading to her displaying challenging behaviours </w:t>
      </w:r>
      <w:r w:rsidR="008A2AC7">
        <w:rPr>
          <w:lang w:val="en-AU"/>
        </w:rPr>
        <w:t>that</w:t>
      </w:r>
      <w:r w:rsidR="008A2AC7" w:rsidRPr="7CA1023E">
        <w:rPr>
          <w:lang w:val="en-AU"/>
        </w:rPr>
        <w:t xml:space="preserve"> </w:t>
      </w:r>
      <w:r w:rsidRPr="7CA1023E">
        <w:rPr>
          <w:lang w:val="en-AU"/>
        </w:rPr>
        <w:t>would pose risks to any housemate. The AAT rejected the NDIA’s arguments that a shared living arrangement could be made suitable if steps were taken to manage these risks, and found sole occupancy was the only suitable arrangement.</w:t>
      </w:r>
    </w:p>
    <w:p w14:paraId="53521202" w14:textId="004E45DE" w:rsidR="00647588" w:rsidRDefault="007760F6" w:rsidP="00AD0632">
      <w:r>
        <w:t>Two cases considered whether</w:t>
      </w:r>
      <w:r w:rsidR="00AD0632">
        <w:t xml:space="preserve"> specific building types and specifications </w:t>
      </w:r>
      <w:r w:rsidR="00C91DCE">
        <w:t>set out in the</w:t>
      </w:r>
      <w:r w:rsidR="00AD0632">
        <w:t xml:space="preserve"> SDA</w:t>
      </w:r>
      <w:r w:rsidR="00096838">
        <w:t xml:space="preserve"> Price Guide</w:t>
      </w:r>
      <w:r w:rsidR="00AD0632">
        <w:t xml:space="preserve"> are the </w:t>
      </w:r>
      <w:r w:rsidR="00AD0632" w:rsidRPr="7CA1023E">
        <w:rPr>
          <w:i/>
          <w:iCs/>
        </w:rPr>
        <w:t>only</w:t>
      </w:r>
      <w:r w:rsidR="00AD0632">
        <w:t xml:space="preserve"> building types that can be funded</w:t>
      </w:r>
      <w:r w:rsidR="0086386D">
        <w:t xml:space="preserve"> as SDA</w:t>
      </w:r>
      <w:r w:rsidR="00AD0632">
        <w:t>, or if other forms of SDA could be funded where</w:t>
      </w:r>
      <w:r w:rsidR="00AD0632" w:rsidDel="00B329A2">
        <w:t xml:space="preserve"> </w:t>
      </w:r>
      <w:r w:rsidR="00B329A2">
        <w:t xml:space="preserve">participants’ </w:t>
      </w:r>
      <w:r w:rsidR="00AD0632">
        <w:t>circumstances require it.</w:t>
      </w:r>
      <w:r w:rsidR="00A47B18">
        <w:t xml:space="preserve"> </w:t>
      </w:r>
      <w:r w:rsidR="00AD0632">
        <w:t xml:space="preserve">In both </w:t>
      </w:r>
      <w:hyperlink r:id="rId29">
        <w:r w:rsidR="00AD0632" w:rsidRPr="7CA1023E">
          <w:rPr>
            <w:rStyle w:val="Hyperlink"/>
            <w:i/>
            <w:iCs/>
          </w:rPr>
          <w:t xml:space="preserve">Caterson and NDIA </w:t>
        </w:r>
        <w:r w:rsidR="00AD0632" w:rsidRPr="7CA1023E">
          <w:rPr>
            <w:rStyle w:val="Hyperlink"/>
          </w:rPr>
          <w:t>[2024] AATA 3440</w:t>
        </w:r>
      </w:hyperlink>
      <w:r w:rsidR="00AD0632">
        <w:t xml:space="preserve"> and </w:t>
      </w:r>
      <w:hyperlink r:id="rId30">
        <w:r w:rsidR="00AD0632" w:rsidRPr="7CA1023E">
          <w:rPr>
            <w:rStyle w:val="Hyperlink"/>
            <w:i/>
            <w:iCs/>
            <w:lang w:val="en-AU"/>
          </w:rPr>
          <w:t xml:space="preserve">DQRG and NDIA </w:t>
        </w:r>
        <w:r w:rsidR="00AD0632" w:rsidRPr="7CA1023E">
          <w:rPr>
            <w:rStyle w:val="Hyperlink"/>
            <w:lang w:val="en-AU"/>
          </w:rPr>
          <w:t xml:space="preserve">[2024] </w:t>
        </w:r>
        <w:r w:rsidR="00552308">
          <w:rPr>
            <w:rStyle w:val="Hyperlink"/>
            <w:lang w:val="en-AU"/>
          </w:rPr>
          <w:t xml:space="preserve">AATA </w:t>
        </w:r>
        <w:r w:rsidR="00AD0632" w:rsidRPr="7CA1023E">
          <w:rPr>
            <w:rStyle w:val="Hyperlink"/>
            <w:lang w:val="en-AU"/>
          </w:rPr>
          <w:t>3595</w:t>
        </w:r>
      </w:hyperlink>
      <w:r w:rsidR="00AD0632">
        <w:t>, participants requested a one-resident, two-bedroom house</w:t>
      </w:r>
      <w:r w:rsidR="003829C8">
        <w:t>. T</w:t>
      </w:r>
      <w:r w:rsidR="00AD0632">
        <w:t xml:space="preserve">he NDIA argued the AAT could not decide to fund this, as that building type is not listed in the Price Guide. The AAT arrived at conflicting decisions; in </w:t>
      </w:r>
      <w:r w:rsidR="00AD0632" w:rsidRPr="7CA1023E">
        <w:rPr>
          <w:i/>
          <w:iCs/>
        </w:rPr>
        <w:t>Caterson</w:t>
      </w:r>
      <w:r w:rsidR="00E323BF">
        <w:t>,</w:t>
      </w:r>
      <w:r w:rsidR="00AD0632">
        <w:t xml:space="preserve"> it funded the requested SDA house, while in </w:t>
      </w:r>
      <w:r w:rsidR="00AD0632" w:rsidRPr="7CA1023E">
        <w:rPr>
          <w:i/>
          <w:iCs/>
        </w:rPr>
        <w:t>DQRG</w:t>
      </w:r>
      <w:r w:rsidR="00AD0632">
        <w:t xml:space="preserve"> it found it did not have the power to do so. </w:t>
      </w:r>
      <w:r w:rsidR="002516F8">
        <w:t>As a result,</w:t>
      </w:r>
      <w:r w:rsidR="00AD0632">
        <w:t xml:space="preserve"> the proper application of the </w:t>
      </w:r>
      <w:r w:rsidR="00D579AC">
        <w:t>SDA</w:t>
      </w:r>
      <w:r w:rsidR="00AD0632">
        <w:t xml:space="preserve"> Price Guide remains uncertain, particularly for people with novel or unusual housing needs</w:t>
      </w:r>
      <w:r w:rsidR="00F9028A">
        <w:t>.</w:t>
      </w:r>
      <w:r w:rsidR="00AD0632">
        <w:t xml:space="preserve"> </w:t>
      </w:r>
      <w:r w:rsidR="00F9028A">
        <w:t>T</w:t>
      </w:r>
      <w:r w:rsidR="00AD0632">
        <w:t xml:space="preserve">he NDIA has appealed the decision in </w:t>
      </w:r>
      <w:r w:rsidR="00AD0632" w:rsidRPr="7CA1023E">
        <w:rPr>
          <w:i/>
          <w:iCs/>
        </w:rPr>
        <w:t>Caterson</w:t>
      </w:r>
      <w:r w:rsidR="00AD0632">
        <w:t xml:space="preserve"> to the Federal Court, which may result in a judgment resolving the issue.</w:t>
      </w:r>
    </w:p>
    <w:p w14:paraId="34C8F4B2" w14:textId="350E665D" w:rsidR="00AD0632" w:rsidRDefault="00AD0632" w:rsidP="00AD0632">
      <w:r>
        <w:t xml:space="preserve">In </w:t>
      </w:r>
      <w:hyperlink r:id="rId31">
        <w:r w:rsidRPr="7CA1023E">
          <w:rPr>
            <w:rStyle w:val="Hyperlink"/>
            <w:i/>
            <w:iCs/>
          </w:rPr>
          <w:t xml:space="preserve">HTDD and NDIA </w:t>
        </w:r>
        <w:r w:rsidRPr="7CA1023E">
          <w:rPr>
            <w:rStyle w:val="Hyperlink"/>
          </w:rPr>
          <w:t>[2024] AATA 725</w:t>
        </w:r>
      </w:hyperlink>
      <w:r>
        <w:t xml:space="preserve">, the participant requested a one-bedroom SDA home. However, many of the features the participant sought in SDA - such as in the layout of the home, materials used in construction </w:t>
      </w:r>
      <w:r w:rsidR="006D7D1A">
        <w:t>and</w:t>
      </w:r>
      <w:r>
        <w:t xml:space="preserve"> features to manage difficult sensory stimuli – are not specifically provided for in the SDA Design Standards. </w:t>
      </w:r>
      <w:r w:rsidR="00146E65">
        <w:t>L</w:t>
      </w:r>
      <w:r>
        <w:t xml:space="preserve">arge parts of the participant’s argument </w:t>
      </w:r>
      <w:r>
        <w:lastRenderedPageBreak/>
        <w:t>referred to the value of housing tailored to her specific disability needs. The AAT accepted the benefits of each of the features the participant sought</w:t>
      </w:r>
      <w:r w:rsidR="00416B64">
        <w:t xml:space="preserve">. It </w:t>
      </w:r>
      <w:r>
        <w:t>found appropriate disability housing would assist the participant to access other disability supports and address issues that could not be tackled in the context of her long-term homelessness (caused by her inability to live in mainstream housing). This nuanced approach by the AAT recognised the foundational role appropriate disability housing plays as part of a network of supports.</w:t>
      </w:r>
    </w:p>
    <w:p w14:paraId="1C600F62" w14:textId="3486F1D0" w:rsidR="00AD0632" w:rsidRDefault="00AD0632" w:rsidP="00AD0632">
      <w:r>
        <w:t xml:space="preserve">In </w:t>
      </w:r>
      <w:hyperlink r:id="rId32">
        <w:r w:rsidRPr="7CA1023E">
          <w:rPr>
            <w:rStyle w:val="Hyperlink"/>
            <w:i/>
            <w:iCs/>
          </w:rPr>
          <w:t>KXHC and NDIA</w:t>
        </w:r>
        <w:r w:rsidRPr="7CA1023E">
          <w:rPr>
            <w:rStyle w:val="Hyperlink"/>
          </w:rPr>
          <w:t xml:space="preserve"> [2024] AATA 2277</w:t>
        </w:r>
      </w:hyperlink>
      <w:r>
        <w:t>, the AAT considered a different kind of bespoke home and living support. The participant’s parents had demolished and rebuilt the family home to give them adequate space to live with KXHC and her siblings</w:t>
      </w:r>
      <w:r w:rsidR="00AB06E0">
        <w:t>.</w:t>
      </w:r>
      <w:r>
        <w:t xml:space="preserve"> </w:t>
      </w:r>
      <w:r w:rsidR="00AB06E0">
        <w:t>T</w:t>
      </w:r>
      <w:r>
        <w:t xml:space="preserve">hey asked for NDIS funding to cover the costs of installing a lift so KXHC could travel between floors. While the AAT accepted the family could have chosen to build a </w:t>
      </w:r>
      <w:r w:rsidR="00001AE9">
        <w:t>single storey</w:t>
      </w:r>
      <w:r>
        <w:t xml:space="preserve"> home instead, it found it was reasonable for them to make choices that took account of the wider family’s needs as well as KXHC’s. It also found this case will not affect the financial sustainability of the NDIS, as these kinds of home modifications decisions will be made </w:t>
      </w:r>
      <w:r w:rsidR="00336E39">
        <w:t xml:space="preserve">on a </w:t>
      </w:r>
      <w:r>
        <w:t>case-by-case</w:t>
      </w:r>
      <w:r w:rsidR="00336E39">
        <w:t xml:space="preserve"> basis</w:t>
      </w:r>
      <w:r>
        <w:t>.</w:t>
      </w:r>
    </w:p>
    <w:p w14:paraId="2C3AD75A" w14:textId="77777777" w:rsidR="00AD0632" w:rsidRPr="006A4F70" w:rsidRDefault="00AD0632" w:rsidP="00647588">
      <w:pPr>
        <w:pStyle w:val="NumberedHeading2"/>
      </w:pPr>
      <w:bookmarkStart w:id="26" w:name="_Toc190427223"/>
      <w:r>
        <w:t>Interfaces with other service delivery systems</w:t>
      </w:r>
      <w:bookmarkEnd w:id="26"/>
    </w:p>
    <w:p w14:paraId="68646CBD" w14:textId="4256B248" w:rsidR="00AD0632" w:rsidRDefault="00393A6B" w:rsidP="00AD0632">
      <w:r>
        <w:t>Three</w:t>
      </w:r>
      <w:r w:rsidR="00AD0632">
        <w:t xml:space="preserve"> cases</w:t>
      </w:r>
      <w:r w:rsidR="00AD0632" w:rsidDel="0098419D">
        <w:t xml:space="preserve"> </w:t>
      </w:r>
      <w:r w:rsidR="00AD0632">
        <w:t xml:space="preserve">considered the interface between the NDIS and other service delivery systems – </w:t>
      </w:r>
      <w:r w:rsidR="005E2B61">
        <w:t xml:space="preserve">an issue that </w:t>
      </w:r>
      <w:r w:rsidR="00AD0632">
        <w:t xml:space="preserve">will be an ongoing source of debate as governments negotiate </w:t>
      </w:r>
      <w:r w:rsidR="00536DF2">
        <w:t>on</w:t>
      </w:r>
      <w:r w:rsidR="00AD0632">
        <w:t xml:space="preserve"> planned reforms to the Scheme.</w:t>
      </w:r>
    </w:p>
    <w:p w14:paraId="6FAC6EB7" w14:textId="3E24DDD7" w:rsidR="00AD0632" w:rsidRDefault="00AD0632" w:rsidP="00AD0632">
      <w:r>
        <w:t xml:space="preserve">In </w:t>
      </w:r>
      <w:hyperlink r:id="rId33" w:history="1">
        <w:r w:rsidRPr="00407D5D">
          <w:rPr>
            <w:rStyle w:val="Hyperlink"/>
            <w:i/>
            <w:iCs/>
          </w:rPr>
          <w:t>Oczenaschek and NDIA</w:t>
        </w:r>
        <w:r w:rsidRPr="00A231C2">
          <w:rPr>
            <w:rStyle w:val="Hyperlink"/>
          </w:rPr>
          <w:t xml:space="preserve"> [202</w:t>
        </w:r>
        <w:bookmarkStart w:id="27" w:name="_Hlt188363445"/>
        <w:bookmarkStart w:id="28" w:name="_Hlt188363446"/>
        <w:r w:rsidRPr="00A231C2">
          <w:rPr>
            <w:rStyle w:val="Hyperlink"/>
          </w:rPr>
          <w:t>4</w:t>
        </w:r>
        <w:bookmarkEnd w:id="27"/>
        <w:bookmarkEnd w:id="28"/>
        <w:r w:rsidRPr="00A231C2">
          <w:rPr>
            <w:rStyle w:val="Hyperlink"/>
          </w:rPr>
          <w:t>] AATA 2889</w:t>
        </w:r>
      </w:hyperlink>
      <w:r>
        <w:t xml:space="preserve">, the participant had been homeless and living in his car for 16 years, the instability of which had prevented him from receiving appropriate therapies or supports for his disabilities. </w:t>
      </w:r>
      <w:r w:rsidR="00FE7055">
        <w:t>His a</w:t>
      </w:r>
      <w:r w:rsidR="00375EAB">
        <w:t>ttempts</w:t>
      </w:r>
      <w:r>
        <w:t xml:space="preserve"> to obtain suitable housing from NSW housing authorities or community housing providers</w:t>
      </w:r>
      <w:r w:rsidR="00103B49">
        <w:t xml:space="preserve"> had been unsuccessful</w:t>
      </w:r>
      <w:r w:rsidR="002672F2">
        <w:t>.</w:t>
      </w:r>
      <w:r w:rsidDel="007B331A">
        <w:t xml:space="preserve"> </w:t>
      </w:r>
      <w:r w:rsidR="007B331A">
        <w:t xml:space="preserve">The </w:t>
      </w:r>
      <w:r>
        <w:t xml:space="preserve">AAT made clear </w:t>
      </w:r>
      <w:r w:rsidR="007B331A">
        <w:t xml:space="preserve">that </w:t>
      </w:r>
      <w:r>
        <w:t xml:space="preserve">inadequate support from state-based providers did not </w:t>
      </w:r>
      <w:r w:rsidR="006D78C0">
        <w:t>create an obligation on</w:t>
      </w:r>
      <w:r w:rsidR="00C15C09">
        <w:t xml:space="preserve"> </w:t>
      </w:r>
      <w:r>
        <w:t>the NDIS to fill this gap.</w:t>
      </w:r>
    </w:p>
    <w:p w14:paraId="45205D70" w14:textId="7829EBB4" w:rsidR="00AD0632" w:rsidRDefault="00AD0632" w:rsidP="00AD0632">
      <w:r>
        <w:t xml:space="preserve">Similarly, in </w:t>
      </w:r>
      <w:hyperlink r:id="rId34">
        <w:r w:rsidRPr="7CA1023E">
          <w:rPr>
            <w:rStyle w:val="Hyperlink"/>
            <w:i/>
            <w:iCs/>
          </w:rPr>
          <w:t xml:space="preserve">Winn and NDIA </w:t>
        </w:r>
        <w:r w:rsidRPr="7CA1023E">
          <w:rPr>
            <w:rStyle w:val="Hyperlink"/>
          </w:rPr>
          <w:t>[2024] AATA 3034</w:t>
        </w:r>
      </w:hyperlink>
      <w:r w:rsidR="004D1EEC">
        <w:t>,</w:t>
      </w:r>
      <w:r>
        <w:t xml:space="preserve"> the AAT stated the NDIS should not be responsible for funding housing solutions where this would otherwise be the responsibility of State authorities, or where the private housing market has created challenging conditions for people with disability. These comments</w:t>
      </w:r>
      <w:r w:rsidDel="00284E7E">
        <w:t xml:space="preserve"> </w:t>
      </w:r>
      <w:r>
        <w:t xml:space="preserve">were in the context of finding the participant did not meet the criteria for SDA; but also highlight the need for governments to work together to develop comprehensive and cohesive </w:t>
      </w:r>
      <w:r w:rsidR="00862632">
        <w:t xml:space="preserve">housing </w:t>
      </w:r>
      <w:r>
        <w:t>solutions for people with disability.</w:t>
      </w:r>
    </w:p>
    <w:p w14:paraId="05AD6E61" w14:textId="4BC8D6BF" w:rsidR="00AD0632" w:rsidRDefault="00AD0632" w:rsidP="00AD0632">
      <w:pPr>
        <w:rPr>
          <w:rStyle w:val="eop"/>
          <w:rFonts w:cs="Arial"/>
          <w:color w:val="000000"/>
          <w:shd w:val="clear" w:color="auto" w:fill="FFFFFF"/>
        </w:rPr>
      </w:pPr>
      <w:r>
        <w:t>In</w:t>
      </w:r>
      <w:r w:rsidDel="00F02F3A">
        <w:t xml:space="preserve"> </w:t>
      </w:r>
      <w:hyperlink r:id="rId35" w:tgtFrame="_blank" w:history="1">
        <w:r w:rsidRPr="7CA1023E">
          <w:rPr>
            <w:rStyle w:val="normaltextrun"/>
            <w:rFonts w:cs="Arial"/>
            <w:i/>
            <w:iCs/>
            <w:color w:val="0000FF"/>
            <w:u w:val="single"/>
            <w:shd w:val="clear" w:color="auto" w:fill="FFFFFF"/>
          </w:rPr>
          <w:t>Deayton and NDIA</w:t>
        </w:r>
        <w:r w:rsidRPr="00454135">
          <w:rPr>
            <w:rStyle w:val="normaltextrun"/>
            <w:rFonts w:cs="Arial"/>
            <w:color w:val="0000FF"/>
            <w:u w:val="single"/>
            <w:shd w:val="clear" w:color="auto" w:fill="FFFFFF"/>
          </w:rPr>
          <w:t xml:space="preserve"> [2024] AATA 3310</w:t>
        </w:r>
      </w:hyperlink>
      <w:r>
        <w:rPr>
          <w:rStyle w:val="eop"/>
          <w:rFonts w:cs="Arial"/>
          <w:color w:val="000000"/>
          <w:shd w:val="clear" w:color="auto" w:fill="FFFFFF"/>
        </w:rPr>
        <w:t xml:space="preserve">, the participant requested the NDIS cover physiotherapy and massage services, and the costs of his disability-related increased electricity usage. While the public health service and a state government subsidy program would, respectively, cover part of his costs for these supports, the participant said these were not adequate to </w:t>
      </w:r>
      <w:r w:rsidR="0045689D">
        <w:rPr>
          <w:rStyle w:val="eop"/>
          <w:rFonts w:cs="Arial"/>
          <w:color w:val="000000"/>
          <w:shd w:val="clear" w:color="auto" w:fill="FFFFFF"/>
        </w:rPr>
        <w:t xml:space="preserve">fully </w:t>
      </w:r>
      <w:r>
        <w:rPr>
          <w:rStyle w:val="eop"/>
          <w:rFonts w:cs="Arial"/>
          <w:color w:val="000000"/>
          <w:shd w:val="clear" w:color="auto" w:fill="FFFFFF"/>
        </w:rPr>
        <w:t xml:space="preserve">cover his disability-related needs. The AAT agreed, and found the NDIS should cover the remainder of these disability-related costs. In relation to the electricity subsidy, the AAT had to reconcile principles from earlier cases prohibiting duplication of supports and pro rata funding of supports by the NDIS. While the AAT’s reasoning is controversial, and the decision is currently being appealed by the NDIA, it </w:t>
      </w:r>
      <w:r w:rsidR="005A4550">
        <w:rPr>
          <w:rStyle w:val="eop"/>
          <w:rFonts w:cs="Arial"/>
          <w:color w:val="000000"/>
          <w:shd w:val="clear" w:color="auto" w:fill="FFFFFF"/>
        </w:rPr>
        <w:t xml:space="preserve">highlights </w:t>
      </w:r>
      <w:r>
        <w:rPr>
          <w:rStyle w:val="eop"/>
          <w:rFonts w:cs="Arial"/>
          <w:color w:val="000000"/>
          <w:shd w:val="clear" w:color="auto" w:fill="FFFFFF"/>
        </w:rPr>
        <w:t xml:space="preserve">the need for state and federal programs to work </w:t>
      </w:r>
      <w:r w:rsidR="00A54E1C">
        <w:rPr>
          <w:rStyle w:val="eop"/>
          <w:rFonts w:cs="Arial"/>
          <w:color w:val="000000"/>
          <w:shd w:val="clear" w:color="auto" w:fill="FFFFFF"/>
        </w:rPr>
        <w:t xml:space="preserve">compatibly </w:t>
      </w:r>
      <w:r>
        <w:rPr>
          <w:rStyle w:val="eop"/>
          <w:rFonts w:cs="Arial"/>
          <w:color w:val="000000"/>
          <w:shd w:val="clear" w:color="auto" w:fill="FFFFFF"/>
        </w:rPr>
        <w:t>with the NDIS to meet participants</w:t>
      </w:r>
      <w:r w:rsidR="003A15EC">
        <w:rPr>
          <w:rStyle w:val="eop"/>
          <w:rFonts w:cs="Arial"/>
          <w:color w:val="000000"/>
          <w:shd w:val="clear" w:color="auto" w:fill="FFFFFF"/>
        </w:rPr>
        <w:t>’</w:t>
      </w:r>
      <w:r>
        <w:rPr>
          <w:rStyle w:val="eop"/>
          <w:rFonts w:cs="Arial"/>
          <w:color w:val="000000"/>
          <w:shd w:val="clear" w:color="auto" w:fill="FFFFFF"/>
        </w:rPr>
        <w:t xml:space="preserve"> practical needs.</w:t>
      </w:r>
    </w:p>
    <w:p w14:paraId="697026CC" w14:textId="77777777" w:rsidR="00AD0632" w:rsidRPr="00CB512D" w:rsidRDefault="00AD0632" w:rsidP="00647588">
      <w:pPr>
        <w:pStyle w:val="NumberedHeading2"/>
      </w:pPr>
      <w:bookmarkStart w:id="29" w:name="_Toc190427224"/>
      <w:r>
        <w:t>Other types of supports</w:t>
      </w:r>
      <w:bookmarkEnd w:id="29"/>
    </w:p>
    <w:p w14:paraId="0E8D5CB8" w14:textId="20010A7D" w:rsidR="00AD0632" w:rsidRDefault="00AD0632" w:rsidP="00AD0632">
      <w:r>
        <w:t>Over the year, the AAT consider</w:t>
      </w:r>
      <w:r w:rsidR="00D70B74">
        <w:t>ed</w:t>
      </w:r>
      <w:r>
        <w:t xml:space="preserve"> cases where participants requested novel supports that reflected their own understanding of their disability and disability needs. These included</w:t>
      </w:r>
      <w:r w:rsidDel="00D9363E">
        <w:t xml:space="preserve"> </w:t>
      </w:r>
      <w:r>
        <w:t xml:space="preserve">gym </w:t>
      </w:r>
      <w:r>
        <w:lastRenderedPageBreak/>
        <w:t xml:space="preserve">memberships (funded in </w:t>
      </w:r>
      <w:hyperlink r:id="rId36" w:tgtFrame="_blank" w:history="1">
        <w:r w:rsidRPr="7CA1023E">
          <w:rPr>
            <w:rStyle w:val="normaltextrun"/>
            <w:rFonts w:cs="Arial"/>
            <w:i/>
            <w:iCs/>
            <w:color w:val="0000FF"/>
            <w:u w:val="single"/>
            <w:shd w:val="clear" w:color="auto" w:fill="FFFFFF"/>
          </w:rPr>
          <w:t>Mante and NDIA</w:t>
        </w:r>
        <w:r w:rsidRPr="00510EFC">
          <w:rPr>
            <w:rStyle w:val="normaltextrun"/>
            <w:rFonts w:cs="Arial"/>
            <w:color w:val="0000FF"/>
            <w:u w:val="single"/>
            <w:shd w:val="clear" w:color="auto" w:fill="FFFFFF"/>
          </w:rPr>
          <w:t xml:space="preserve"> [2024] AATA 3399</w:t>
        </w:r>
      </w:hyperlink>
      <w:r>
        <w:t xml:space="preserve">) and air conditioners (funded in </w:t>
      </w:r>
      <w:hyperlink r:id="rId37" w:tgtFrame="_blank" w:history="1">
        <w:r w:rsidRPr="7CA1023E">
          <w:rPr>
            <w:rStyle w:val="normaltextrun"/>
            <w:rFonts w:cs="Arial"/>
            <w:i/>
            <w:iCs/>
            <w:color w:val="0000FF"/>
            <w:u w:val="single"/>
            <w:shd w:val="clear" w:color="auto" w:fill="FFFFFF"/>
          </w:rPr>
          <w:t>MKKX and NDIA</w:t>
        </w:r>
        <w:r>
          <w:rPr>
            <w:rStyle w:val="normaltextrun"/>
            <w:rFonts w:cs="Arial"/>
            <w:color w:val="0000FF"/>
            <w:u w:val="single"/>
            <w:shd w:val="clear" w:color="auto" w:fill="FFFFFF"/>
          </w:rPr>
          <w:t xml:space="preserve"> [2024] AATA 805</w:t>
        </w:r>
      </w:hyperlink>
      <w:r>
        <w:t>)</w:t>
      </w:r>
      <w:r w:rsidR="00995F3F">
        <w:rPr>
          <w:rStyle w:val="eop"/>
          <w:rFonts w:cs="Arial"/>
          <w:color w:val="000000"/>
          <w:shd w:val="clear" w:color="auto" w:fill="FFFFFF"/>
        </w:rPr>
        <w:t>.</w:t>
      </w:r>
      <w:r>
        <w:rPr>
          <w:rStyle w:val="eop"/>
          <w:rFonts w:cs="Arial"/>
          <w:color w:val="000000"/>
          <w:shd w:val="clear" w:color="auto" w:fill="FFFFFF"/>
        </w:rPr>
        <w:t xml:space="preserve"> </w:t>
      </w:r>
      <w:r w:rsidR="0099345D">
        <w:rPr>
          <w:rStyle w:val="eop"/>
          <w:rFonts w:cs="Arial"/>
          <w:color w:val="000000"/>
          <w:shd w:val="clear" w:color="auto" w:fill="FFFFFF"/>
        </w:rPr>
        <w:t>T</w:t>
      </w:r>
      <w:r>
        <w:rPr>
          <w:rStyle w:val="eop"/>
          <w:rFonts w:cs="Arial"/>
          <w:color w:val="000000"/>
          <w:shd w:val="clear" w:color="auto" w:fill="FFFFFF"/>
        </w:rPr>
        <w:t xml:space="preserve">he Agency has previously opposed </w:t>
      </w:r>
      <w:r w:rsidR="00995F3F">
        <w:rPr>
          <w:rStyle w:val="eop"/>
          <w:rFonts w:cs="Arial"/>
          <w:color w:val="000000"/>
          <w:shd w:val="clear" w:color="auto" w:fill="FFFFFF"/>
        </w:rPr>
        <w:t>these types of supports</w:t>
      </w:r>
      <w:r w:rsidR="0034543A">
        <w:rPr>
          <w:rStyle w:val="eop"/>
          <w:rFonts w:cs="Arial"/>
          <w:color w:val="000000"/>
          <w:shd w:val="clear" w:color="auto" w:fill="FFFFFF"/>
        </w:rPr>
        <w:t>,</w:t>
      </w:r>
      <w:r w:rsidR="00995F3F">
        <w:rPr>
          <w:rStyle w:val="eop"/>
          <w:rFonts w:cs="Arial"/>
          <w:color w:val="000000"/>
          <w:shd w:val="clear" w:color="auto" w:fill="FFFFFF"/>
        </w:rPr>
        <w:t xml:space="preserve"> </w:t>
      </w:r>
      <w:r w:rsidR="0034543A">
        <w:rPr>
          <w:rStyle w:val="eop"/>
          <w:rFonts w:cs="Arial"/>
          <w:color w:val="000000"/>
          <w:shd w:val="clear" w:color="auto" w:fill="FFFFFF"/>
        </w:rPr>
        <w:t>which</w:t>
      </w:r>
      <w:r>
        <w:rPr>
          <w:rStyle w:val="eop"/>
          <w:rFonts w:cs="Arial"/>
          <w:color w:val="000000"/>
          <w:shd w:val="clear" w:color="auto" w:fill="FFFFFF"/>
        </w:rPr>
        <w:t xml:space="preserve"> </w:t>
      </w:r>
      <w:r w:rsidR="00BF4A99">
        <w:rPr>
          <w:rStyle w:val="eop"/>
          <w:rFonts w:cs="Arial"/>
          <w:color w:val="000000"/>
          <w:shd w:val="clear" w:color="auto" w:fill="FFFFFF"/>
        </w:rPr>
        <w:t xml:space="preserve">are </w:t>
      </w:r>
      <w:r>
        <w:rPr>
          <w:rStyle w:val="eop"/>
          <w:rFonts w:cs="Arial"/>
          <w:color w:val="000000"/>
          <w:shd w:val="clear" w:color="auto" w:fill="FFFFFF"/>
        </w:rPr>
        <w:t>now generally excluded under the transitional NDIS supports lists. The AAT’s reasoning in these cases, including considering and rejecting alternative types of supports for the participants, highlight</w:t>
      </w:r>
      <w:r w:rsidR="00BA4116">
        <w:rPr>
          <w:rStyle w:val="eop"/>
          <w:rFonts w:cs="Arial"/>
          <w:color w:val="000000"/>
          <w:shd w:val="clear" w:color="auto" w:fill="FFFFFF"/>
        </w:rPr>
        <w:t>s</w:t>
      </w:r>
      <w:r>
        <w:rPr>
          <w:rStyle w:val="eop"/>
          <w:rFonts w:cs="Arial"/>
          <w:color w:val="000000"/>
          <w:shd w:val="clear" w:color="auto" w:fill="FFFFFF"/>
        </w:rPr>
        <w:t xml:space="preserve"> the challenges that could flow from the NDIS supports lists unduly restricting</w:t>
      </w:r>
      <w:r w:rsidDel="035B258E">
        <w:rPr>
          <w:rStyle w:val="eop"/>
          <w:rFonts w:cs="Arial"/>
          <w:color w:val="000000"/>
          <w:shd w:val="clear" w:color="auto" w:fill="FFFFFF"/>
        </w:rPr>
        <w:t xml:space="preserve"> </w:t>
      </w:r>
      <w:r>
        <w:rPr>
          <w:rStyle w:val="eop"/>
          <w:rFonts w:cs="Arial"/>
          <w:color w:val="000000"/>
          <w:shd w:val="clear" w:color="auto" w:fill="FFFFFF"/>
        </w:rPr>
        <w:t>the types of supports people with disability can access.</w:t>
      </w:r>
    </w:p>
    <w:p w14:paraId="602AB4F1" w14:textId="77777777" w:rsidR="00AD0632" w:rsidRDefault="00AD0632" w:rsidP="00647588">
      <w:pPr>
        <w:pStyle w:val="NumberedHeading2"/>
      </w:pPr>
      <w:bookmarkStart w:id="30" w:name="_Toc190427225"/>
      <w:r>
        <w:t>Tribunal powers and processes</w:t>
      </w:r>
      <w:bookmarkEnd w:id="30"/>
    </w:p>
    <w:p w14:paraId="616C60EF" w14:textId="7E5A9BC4" w:rsidR="00AD0632" w:rsidRDefault="00AD0632" w:rsidP="00AD0632">
      <w:r>
        <w:t xml:space="preserve">Several cases </w:t>
      </w:r>
      <w:r w:rsidR="00182269">
        <w:t xml:space="preserve">saw </w:t>
      </w:r>
      <w:r>
        <w:t xml:space="preserve">the AAT considering its own processes and powers. </w:t>
      </w:r>
      <w:r w:rsidR="00A23A9B">
        <w:t>Although</w:t>
      </w:r>
      <w:r w:rsidRPr="00510EFC">
        <w:t xml:space="preserve"> </w:t>
      </w:r>
      <w:r w:rsidR="00295AB7">
        <w:t xml:space="preserve">the </w:t>
      </w:r>
      <w:r w:rsidRPr="00510EFC">
        <w:t>AAT</w:t>
      </w:r>
      <w:r w:rsidR="00A23A9B">
        <w:t xml:space="preserve"> has since been </w:t>
      </w:r>
      <w:r w:rsidR="004059CB">
        <w:t>abolished</w:t>
      </w:r>
      <w:r w:rsidRPr="00510EFC">
        <w:t xml:space="preserve">, the principles </w:t>
      </w:r>
      <w:r w:rsidR="00620160">
        <w:t xml:space="preserve">in these decisions </w:t>
      </w:r>
      <w:r w:rsidRPr="00510EFC">
        <w:t>will continue to have application to the functions and powers of the new ART.</w:t>
      </w:r>
    </w:p>
    <w:p w14:paraId="15CF936F" w14:textId="363D9947" w:rsidR="00AD0632" w:rsidRDefault="00AD0632" w:rsidP="00AD0632">
      <w:pPr>
        <w:rPr>
          <w:lang w:val="en-AU"/>
        </w:rPr>
      </w:pPr>
      <w:r w:rsidRPr="00510EFC">
        <w:rPr>
          <w:lang w:val="en-AU"/>
        </w:rPr>
        <w:t xml:space="preserve">In </w:t>
      </w:r>
      <w:hyperlink r:id="rId38">
        <w:r w:rsidRPr="5E8B3E4D">
          <w:rPr>
            <w:rStyle w:val="Hyperlink"/>
            <w:i/>
            <w:iCs/>
            <w:lang w:val="en-AU"/>
          </w:rPr>
          <w:t>FBHL and NDIA</w:t>
        </w:r>
        <w:r w:rsidRPr="5E8B3E4D">
          <w:rPr>
            <w:rStyle w:val="Hyperlink"/>
            <w:lang w:val="en-AU"/>
          </w:rPr>
          <w:t xml:space="preserve"> [2024] AATA 304</w:t>
        </w:r>
      </w:hyperlink>
      <w:r w:rsidRPr="00510EFC">
        <w:rPr>
          <w:lang w:val="en-AU"/>
        </w:rPr>
        <w:t>, the AAT considered a</w:t>
      </w:r>
      <w:r>
        <w:rPr>
          <w:lang w:val="en-AU"/>
        </w:rPr>
        <w:t xml:space="preserve"> </w:t>
      </w:r>
      <w:r w:rsidRPr="00510EFC">
        <w:rPr>
          <w:lang w:val="en-AU"/>
        </w:rPr>
        <w:t xml:space="preserve">recommendation </w:t>
      </w:r>
      <w:r w:rsidR="009759A2">
        <w:rPr>
          <w:lang w:val="en-AU"/>
        </w:rPr>
        <w:t xml:space="preserve">made through </w:t>
      </w:r>
      <w:r>
        <w:rPr>
          <w:lang w:val="en-AU"/>
        </w:rPr>
        <w:t xml:space="preserve">the </w:t>
      </w:r>
      <w:r w:rsidR="00F41479">
        <w:rPr>
          <w:lang w:val="en-AU"/>
        </w:rPr>
        <w:t xml:space="preserve">NDIA’s </w:t>
      </w:r>
      <w:r>
        <w:rPr>
          <w:lang w:val="en-AU"/>
        </w:rPr>
        <w:t xml:space="preserve">Independent Expert Review program </w:t>
      </w:r>
      <w:r w:rsidR="009759A2">
        <w:rPr>
          <w:lang w:val="en-AU"/>
        </w:rPr>
        <w:t>(</w:t>
      </w:r>
      <w:r w:rsidR="00DF5304">
        <w:rPr>
          <w:lang w:val="en-AU"/>
        </w:rPr>
        <w:t xml:space="preserve">which is </w:t>
      </w:r>
      <w:r w:rsidR="00872B1D">
        <w:rPr>
          <w:lang w:val="en-AU"/>
        </w:rPr>
        <w:t xml:space="preserve">no longer </w:t>
      </w:r>
      <w:r w:rsidR="009D6E40">
        <w:rPr>
          <w:lang w:val="en-AU"/>
        </w:rPr>
        <w:t xml:space="preserve">active) </w:t>
      </w:r>
      <w:r w:rsidR="0020530C">
        <w:rPr>
          <w:lang w:val="en-AU"/>
        </w:rPr>
        <w:t xml:space="preserve">while </w:t>
      </w:r>
      <w:r>
        <w:rPr>
          <w:lang w:val="en-AU"/>
        </w:rPr>
        <w:t>deciding</w:t>
      </w:r>
      <w:r w:rsidRPr="00510EFC">
        <w:rPr>
          <w:lang w:val="en-AU"/>
        </w:rPr>
        <w:t xml:space="preserve"> whether certain supports sought by the applicant were ‘reasonable and necessary’.</w:t>
      </w:r>
      <w:r>
        <w:rPr>
          <w:lang w:val="en-AU"/>
        </w:rPr>
        <w:t xml:space="preserve"> </w:t>
      </w:r>
      <w:r w:rsidR="00E37F41">
        <w:rPr>
          <w:lang w:val="en-AU"/>
        </w:rPr>
        <w:t xml:space="preserve">Although </w:t>
      </w:r>
      <w:r>
        <w:rPr>
          <w:lang w:val="en-AU"/>
        </w:rPr>
        <w:t xml:space="preserve">the independent expert recommended </w:t>
      </w:r>
      <w:r w:rsidR="00D6322D">
        <w:rPr>
          <w:lang w:val="en-AU"/>
        </w:rPr>
        <w:t xml:space="preserve">funding </w:t>
      </w:r>
      <w:r>
        <w:rPr>
          <w:lang w:val="en-AU"/>
        </w:rPr>
        <w:t>some of the participant’s requested home modifications, the AAT rejected the recommendation and ultimately decided not to fund any of them. It is unfortunate the independent expert’s view was not useful to the AAT in forming its ultimate decision</w:t>
      </w:r>
      <w:r w:rsidRPr="5E8B3E4D">
        <w:rPr>
          <w:lang w:val="en-AU"/>
        </w:rPr>
        <w:t>. This</w:t>
      </w:r>
      <w:r>
        <w:rPr>
          <w:lang w:val="en-AU"/>
        </w:rPr>
        <w:t xml:space="preserve"> process may hold lessons for any future attempts by the ART to use neutral expert evaluation.</w:t>
      </w:r>
    </w:p>
    <w:p w14:paraId="5757BE4C" w14:textId="304DBAF8" w:rsidR="00AD0632" w:rsidRPr="009C4ED5" w:rsidRDefault="00AD0632" w:rsidP="00AD0632">
      <w:pPr>
        <w:rPr>
          <w:lang w:val="en-AU"/>
        </w:rPr>
      </w:pPr>
      <w:r w:rsidRPr="009C4ED5">
        <w:rPr>
          <w:lang w:val="en-AU"/>
        </w:rPr>
        <w:t xml:space="preserve">In </w:t>
      </w:r>
      <w:hyperlink r:id="rId39" w:history="1">
        <w:r w:rsidRPr="009426A5">
          <w:rPr>
            <w:rStyle w:val="Hyperlink"/>
            <w:i/>
            <w:iCs/>
            <w:lang w:val="en-AU"/>
          </w:rPr>
          <w:t>Gabriela and Chief Executive Officer, NDIA</w:t>
        </w:r>
        <w:r>
          <w:rPr>
            <w:rStyle w:val="Hyperlink"/>
            <w:lang w:val="en-AU"/>
          </w:rPr>
          <w:t xml:space="preserve"> [2024] AATA 741</w:t>
        </w:r>
      </w:hyperlink>
      <w:r w:rsidR="00132CB4">
        <w:t>,</w:t>
      </w:r>
      <w:r w:rsidRPr="009C4ED5">
        <w:rPr>
          <w:lang w:val="en-AU"/>
        </w:rPr>
        <w:t xml:space="preserve"> the </w:t>
      </w:r>
      <w:r>
        <w:rPr>
          <w:lang w:val="en-AU"/>
        </w:rPr>
        <w:t>AAT</w:t>
      </w:r>
      <w:r w:rsidRPr="009C4ED5">
        <w:rPr>
          <w:lang w:val="en-AU"/>
        </w:rPr>
        <w:t xml:space="preserve"> confirmed </w:t>
      </w:r>
      <w:r w:rsidR="00000A32">
        <w:rPr>
          <w:lang w:val="en-AU"/>
        </w:rPr>
        <w:t xml:space="preserve">that </w:t>
      </w:r>
      <w:r w:rsidRPr="009C4ED5">
        <w:rPr>
          <w:lang w:val="en-AU"/>
        </w:rPr>
        <w:t>a review of a statement of participant supports</w:t>
      </w:r>
      <w:r w:rsidR="00000A32">
        <w:rPr>
          <w:lang w:val="en-AU"/>
        </w:rPr>
        <w:t xml:space="preserve"> </w:t>
      </w:r>
      <w:r>
        <w:rPr>
          <w:lang w:val="en-AU"/>
        </w:rPr>
        <w:t>include</w:t>
      </w:r>
      <w:r w:rsidR="00EA0EE5">
        <w:rPr>
          <w:lang w:val="en-AU"/>
        </w:rPr>
        <w:t>s</w:t>
      </w:r>
      <w:r w:rsidR="00CE0DDC">
        <w:rPr>
          <w:lang w:val="en-AU"/>
        </w:rPr>
        <w:t xml:space="preserve"> </w:t>
      </w:r>
      <w:r w:rsidRPr="009C4ED5">
        <w:rPr>
          <w:lang w:val="en-AU"/>
        </w:rPr>
        <w:t>review</w:t>
      </w:r>
      <w:r w:rsidR="00EA0EE5">
        <w:rPr>
          <w:lang w:val="en-AU"/>
        </w:rPr>
        <w:t>ing</w:t>
      </w:r>
      <w:r w:rsidRPr="009C4ED5">
        <w:rPr>
          <w:lang w:val="en-AU"/>
        </w:rPr>
        <w:t xml:space="preserve"> </w:t>
      </w:r>
      <w:r w:rsidRPr="009C4ED5">
        <w:rPr>
          <w:i/>
          <w:iCs/>
          <w:lang w:val="en-AU"/>
        </w:rPr>
        <w:t>all</w:t>
      </w:r>
      <w:r w:rsidRPr="009C4ED5">
        <w:rPr>
          <w:lang w:val="en-AU"/>
        </w:rPr>
        <w:t xml:space="preserve"> matters specified in that statement, including the reassessment date of the plan and the plan management arrangements. The </w:t>
      </w:r>
      <w:r>
        <w:rPr>
          <w:lang w:val="en-AU"/>
        </w:rPr>
        <w:t>AAT’s</w:t>
      </w:r>
      <w:r w:rsidRPr="009C4ED5">
        <w:rPr>
          <w:lang w:val="en-AU"/>
        </w:rPr>
        <w:t xml:space="preserve"> approach could lead to unexpected, and potentially undesirable, outcomes for participants who </w:t>
      </w:r>
      <w:r w:rsidRPr="5E8B3E4D">
        <w:rPr>
          <w:rFonts w:eastAsia="Arial" w:cs="Arial"/>
          <w:color w:val="000000" w:themeColor="text1"/>
          <w:szCs w:val="22"/>
          <w:lang w:val="en-AU"/>
        </w:rPr>
        <w:t xml:space="preserve">challenge specific aspects of their plan but </w:t>
      </w:r>
      <w:r w:rsidR="006E3214">
        <w:rPr>
          <w:rFonts w:eastAsia="Arial" w:cs="Arial"/>
          <w:color w:val="000000" w:themeColor="text1"/>
          <w:szCs w:val="22"/>
          <w:lang w:val="en-AU"/>
        </w:rPr>
        <w:t xml:space="preserve">then </w:t>
      </w:r>
      <w:r w:rsidRPr="5E8B3E4D">
        <w:rPr>
          <w:rFonts w:eastAsia="Arial" w:cs="Arial"/>
          <w:color w:val="000000" w:themeColor="text1"/>
          <w:szCs w:val="22"/>
          <w:lang w:val="en-AU"/>
        </w:rPr>
        <w:t>find the Tribunal reconsidering other aspects of their plan.</w:t>
      </w:r>
      <w:r w:rsidRPr="5E8B3E4D">
        <w:rPr>
          <w:lang w:val="en-AU"/>
        </w:rPr>
        <w:t xml:space="preserve"> </w:t>
      </w:r>
    </w:p>
    <w:p w14:paraId="5C2C538E" w14:textId="71AFD4C0" w:rsidR="00AD0632" w:rsidRDefault="00AD0632" w:rsidP="00AD0632">
      <w:pPr>
        <w:rPr>
          <w:lang w:val="en-AU"/>
        </w:rPr>
      </w:pPr>
      <w:bookmarkStart w:id="31" w:name="_Int_zHbUpZGf"/>
      <w:r w:rsidRPr="5E8B3E4D">
        <w:rPr>
          <w:lang w:val="en-AU"/>
        </w:rPr>
        <w:t xml:space="preserve">In </w:t>
      </w:r>
      <w:hyperlink r:id="rId40" w:history="1">
        <w:r w:rsidRPr="00A4723C">
          <w:rPr>
            <w:rStyle w:val="Hyperlink"/>
            <w:i/>
            <w:iCs/>
            <w:lang w:val="en-AU"/>
          </w:rPr>
          <w:t>Joppich</w:t>
        </w:r>
        <w:bookmarkEnd w:id="31"/>
        <w:r w:rsidRPr="00A4723C">
          <w:rPr>
            <w:rStyle w:val="Hyperlink"/>
            <w:i/>
            <w:iCs/>
            <w:lang w:val="en-AU"/>
          </w:rPr>
          <w:t xml:space="preserve"> and NDIA </w:t>
        </w:r>
        <w:r w:rsidRPr="00A4723C">
          <w:rPr>
            <w:rStyle w:val="Hyperlink"/>
            <w:lang w:val="en-AU"/>
          </w:rPr>
          <w:t>[2024] AATA 3275</w:t>
        </w:r>
      </w:hyperlink>
      <w:r w:rsidR="00A4723C">
        <w:rPr>
          <w:lang w:val="en-AU"/>
        </w:rPr>
        <w:t xml:space="preserve">, </w:t>
      </w:r>
      <w:r w:rsidRPr="5E8B3E4D">
        <w:rPr>
          <w:lang w:val="en-AU"/>
        </w:rPr>
        <w:t xml:space="preserve">the presiding member </w:t>
      </w:r>
      <w:r w:rsidRPr="009C4ED5">
        <w:rPr>
          <w:lang w:val="en-AU"/>
        </w:rPr>
        <w:t>refused to make confidentiality orders requested by the applicant on the basis that the case concerned private and personal matters, even though the NDIA did not oppose the request.</w:t>
      </w:r>
      <w:r>
        <w:rPr>
          <w:lang w:val="en-AU"/>
        </w:rPr>
        <w:t xml:space="preserve"> The </w:t>
      </w:r>
      <w:r w:rsidRPr="5E8B3E4D">
        <w:rPr>
          <w:lang w:val="en-AU"/>
        </w:rPr>
        <w:t xml:space="preserve">member </w:t>
      </w:r>
      <w:r w:rsidRPr="009C4ED5">
        <w:rPr>
          <w:lang w:val="en-AU"/>
        </w:rPr>
        <w:t xml:space="preserve">said the default position should be that hearings are subject to open justice, and there needed to be a reason to depart from that default position. He found there was no </w:t>
      </w:r>
      <w:proofErr w:type="gramStart"/>
      <w:r>
        <w:rPr>
          <w:lang w:val="en-AU"/>
        </w:rPr>
        <w:t xml:space="preserve">particular </w:t>
      </w:r>
      <w:r w:rsidRPr="009C4ED5">
        <w:rPr>
          <w:lang w:val="en-AU"/>
        </w:rPr>
        <w:t>reason</w:t>
      </w:r>
      <w:proofErr w:type="gramEnd"/>
      <w:r w:rsidRPr="009C4ED5">
        <w:rPr>
          <w:lang w:val="en-AU"/>
        </w:rPr>
        <w:t xml:space="preserve"> to do so in this case</w:t>
      </w:r>
      <w:r>
        <w:rPr>
          <w:lang w:val="en-AU"/>
        </w:rPr>
        <w:t xml:space="preserve"> as, while it involved private and personal information, this would be common to most NDIS reviews.</w:t>
      </w:r>
    </w:p>
    <w:p w14:paraId="115157AA" w14:textId="309924F8" w:rsidR="00AD0632" w:rsidRDefault="00AD0632" w:rsidP="00AD0632">
      <w:pPr>
        <w:rPr>
          <w:lang w:val="en-AU"/>
        </w:rPr>
      </w:pPr>
      <w:r w:rsidRPr="009C4ED5">
        <w:rPr>
          <w:lang w:val="en-AU"/>
        </w:rPr>
        <w:t xml:space="preserve">Although the applicant was an adult at the time of this decision, </w:t>
      </w:r>
      <w:r w:rsidRPr="5E8B3E4D">
        <w:rPr>
          <w:lang w:val="en-AU"/>
        </w:rPr>
        <w:t>the member</w:t>
      </w:r>
      <w:r w:rsidRPr="009C4ED5">
        <w:rPr>
          <w:lang w:val="en-AU"/>
        </w:rPr>
        <w:t xml:space="preserve"> also appeared to question the Tribunal’s standard practice of assigning a pseudonym to children who apply for review of an NDIA decision. If this approach – and particularly </w:t>
      </w:r>
      <w:r w:rsidRPr="5E8B3E4D">
        <w:rPr>
          <w:lang w:val="en-AU"/>
        </w:rPr>
        <w:t>the views expressed about</w:t>
      </w:r>
      <w:r w:rsidRPr="009C4ED5">
        <w:rPr>
          <w:lang w:val="en-AU"/>
        </w:rPr>
        <w:t xml:space="preserve"> confidentiality orders for child applicants – is adopted by the </w:t>
      </w:r>
      <w:r>
        <w:rPr>
          <w:lang w:val="en-AU"/>
        </w:rPr>
        <w:t>ART</w:t>
      </w:r>
      <w:r w:rsidRPr="009C4ED5">
        <w:rPr>
          <w:lang w:val="en-AU"/>
        </w:rPr>
        <w:t>, it could raise significant privacy concerns for some NDIS participants and could potentially deter them from seeking a review by the Tribunal altogether.</w:t>
      </w:r>
    </w:p>
    <w:p w14:paraId="789CC070" w14:textId="607ECCF3" w:rsidR="00AD0632" w:rsidRPr="00E712C3" w:rsidRDefault="00AD0632" w:rsidP="00AD0632">
      <w:pPr>
        <w:rPr>
          <w:lang w:val="en-AU"/>
        </w:rPr>
      </w:pPr>
      <w:r>
        <w:rPr>
          <w:lang w:val="en-AU"/>
        </w:rPr>
        <w:t xml:space="preserve">In </w:t>
      </w:r>
      <w:hyperlink r:id="rId41">
        <w:r w:rsidRPr="4B951DB9">
          <w:rPr>
            <w:rStyle w:val="Hyperlink"/>
            <w:i/>
            <w:iCs/>
          </w:rPr>
          <w:t>Brown and NDIA</w:t>
        </w:r>
        <w:r w:rsidRPr="4B951DB9">
          <w:rPr>
            <w:rStyle w:val="Hyperlink"/>
            <w:lang w:val="en-AU"/>
          </w:rPr>
          <w:t xml:space="preserve"> [2024] AATA 3318</w:t>
        </w:r>
      </w:hyperlink>
      <w:r>
        <w:rPr>
          <w:i/>
          <w:iCs/>
          <w:lang w:val="en-AU"/>
        </w:rPr>
        <w:t xml:space="preserve"> </w:t>
      </w:r>
      <w:r>
        <w:rPr>
          <w:lang w:val="en-AU"/>
        </w:rPr>
        <w:t>the participant challenged the NDIA’s decision to reduce his funding for support hours</w:t>
      </w:r>
      <w:r w:rsidRPr="5E8B3E4D">
        <w:rPr>
          <w:lang w:val="en-AU"/>
        </w:rPr>
        <w:t xml:space="preserve"> relative to his previous plan</w:t>
      </w:r>
      <w:r>
        <w:rPr>
          <w:lang w:val="en-AU"/>
        </w:rPr>
        <w:t xml:space="preserve">. The AAT considered </w:t>
      </w:r>
      <w:r w:rsidRPr="5E8B3E4D">
        <w:rPr>
          <w:lang w:val="en-AU"/>
        </w:rPr>
        <w:t xml:space="preserve">whether </w:t>
      </w:r>
      <w:r>
        <w:rPr>
          <w:lang w:val="en-AU"/>
        </w:rPr>
        <w:t xml:space="preserve">the participant or NDIA had </w:t>
      </w:r>
      <w:r w:rsidRPr="5E8B3E4D">
        <w:rPr>
          <w:lang w:val="en-AU"/>
        </w:rPr>
        <w:t xml:space="preserve">an </w:t>
      </w:r>
      <w:r>
        <w:rPr>
          <w:lang w:val="en-AU"/>
        </w:rPr>
        <w:t xml:space="preserve">‘onus’ of persuading the Tribunal of the level of support the participant required. The AAT </w:t>
      </w:r>
      <w:r w:rsidRPr="5E8B3E4D">
        <w:rPr>
          <w:lang w:val="en-AU"/>
        </w:rPr>
        <w:t xml:space="preserve">considered commentary from previous Tribunal cases that took different approaches to this issue, and ultimately suggested </w:t>
      </w:r>
      <w:r>
        <w:rPr>
          <w:lang w:val="en-AU"/>
        </w:rPr>
        <w:t>a party seek</w:t>
      </w:r>
      <w:r w:rsidRPr="5E8B3E4D">
        <w:rPr>
          <w:lang w:val="en-AU"/>
        </w:rPr>
        <w:t xml:space="preserve">ing </w:t>
      </w:r>
      <w:r>
        <w:rPr>
          <w:lang w:val="en-AU"/>
        </w:rPr>
        <w:t>a particular finding on an issue</w:t>
      </w:r>
      <w:r w:rsidRPr="5E8B3E4D">
        <w:rPr>
          <w:lang w:val="en-AU"/>
        </w:rPr>
        <w:t xml:space="preserve"> should generally be expected to</w:t>
      </w:r>
      <w:r>
        <w:rPr>
          <w:lang w:val="en-AU"/>
        </w:rPr>
        <w:t xml:space="preserve"> provide information</w:t>
      </w:r>
      <w:r w:rsidRPr="5E8B3E4D">
        <w:rPr>
          <w:lang w:val="en-AU"/>
        </w:rPr>
        <w:t xml:space="preserve"> supporting that finding. This meant,</w:t>
      </w:r>
      <w:r>
        <w:rPr>
          <w:lang w:val="en-AU"/>
        </w:rPr>
        <w:t xml:space="preserve"> </w:t>
      </w:r>
      <w:r w:rsidRPr="5E8B3E4D">
        <w:rPr>
          <w:lang w:val="en-AU"/>
        </w:rPr>
        <w:t>where</w:t>
      </w:r>
      <w:r>
        <w:rPr>
          <w:lang w:val="en-AU"/>
        </w:rPr>
        <w:t xml:space="preserve"> a participant </w:t>
      </w:r>
      <w:r w:rsidRPr="5E8B3E4D">
        <w:rPr>
          <w:lang w:val="en-AU"/>
        </w:rPr>
        <w:t>seeks</w:t>
      </w:r>
      <w:r>
        <w:rPr>
          <w:lang w:val="en-AU"/>
        </w:rPr>
        <w:t xml:space="preserve"> additional </w:t>
      </w:r>
      <w:r w:rsidRPr="5E8B3E4D">
        <w:rPr>
          <w:lang w:val="en-AU"/>
        </w:rPr>
        <w:t xml:space="preserve">new </w:t>
      </w:r>
      <w:r>
        <w:rPr>
          <w:lang w:val="en-AU"/>
        </w:rPr>
        <w:t xml:space="preserve">supports, </w:t>
      </w:r>
      <w:r w:rsidRPr="5E8B3E4D">
        <w:rPr>
          <w:lang w:val="en-AU"/>
        </w:rPr>
        <w:t xml:space="preserve">they might be expected to provide evidence for those; but where the NDIA seeks to reduce funding for a support, </w:t>
      </w:r>
      <w:r>
        <w:rPr>
          <w:lang w:val="en-AU"/>
        </w:rPr>
        <w:t xml:space="preserve">the NDIA has a </w:t>
      </w:r>
      <w:r>
        <w:rPr>
          <w:lang w:val="en-AU"/>
        </w:rPr>
        <w:lastRenderedPageBreak/>
        <w:t>‘greater responsibility’ to provide supporting information. Although</w:t>
      </w:r>
      <w:r w:rsidDel="00176BD6">
        <w:rPr>
          <w:lang w:val="en-AU"/>
        </w:rPr>
        <w:t xml:space="preserve"> </w:t>
      </w:r>
      <w:r w:rsidR="00176BD6">
        <w:rPr>
          <w:lang w:val="en-AU"/>
        </w:rPr>
        <w:t xml:space="preserve">this does not result in a </w:t>
      </w:r>
      <w:r>
        <w:rPr>
          <w:lang w:val="en-AU"/>
        </w:rPr>
        <w:t xml:space="preserve">formal ‘onus of proof’, it provides </w:t>
      </w:r>
      <w:r w:rsidRPr="5E8B3E4D">
        <w:rPr>
          <w:lang w:val="en-AU"/>
        </w:rPr>
        <w:t xml:space="preserve">practical </w:t>
      </w:r>
      <w:r>
        <w:rPr>
          <w:lang w:val="en-AU"/>
        </w:rPr>
        <w:t xml:space="preserve">guidance for </w:t>
      </w:r>
      <w:r w:rsidR="001469FD">
        <w:rPr>
          <w:lang w:val="en-AU"/>
        </w:rPr>
        <w:t xml:space="preserve">the </w:t>
      </w:r>
      <w:r w:rsidRPr="5E8B3E4D">
        <w:rPr>
          <w:lang w:val="en-AU"/>
        </w:rPr>
        <w:t xml:space="preserve">Tribunal and </w:t>
      </w:r>
      <w:r w:rsidR="001469FD">
        <w:rPr>
          <w:lang w:val="en-AU"/>
        </w:rPr>
        <w:t xml:space="preserve">parties </w:t>
      </w:r>
      <w:r w:rsidR="00897B19">
        <w:rPr>
          <w:lang w:val="en-AU"/>
        </w:rPr>
        <w:t>in NDIS</w:t>
      </w:r>
      <w:r w:rsidR="001469FD">
        <w:rPr>
          <w:lang w:val="en-AU"/>
        </w:rPr>
        <w:t xml:space="preserve"> </w:t>
      </w:r>
      <w:r w:rsidR="00897B19">
        <w:rPr>
          <w:lang w:val="en-AU"/>
        </w:rPr>
        <w:t>cases</w:t>
      </w:r>
      <w:r w:rsidRPr="5DCE442B">
        <w:rPr>
          <w:lang w:val="en-AU"/>
        </w:rPr>
        <w:t>.</w:t>
      </w:r>
    </w:p>
    <w:p w14:paraId="684F9806" w14:textId="21223F60" w:rsidR="00FD5CD7" w:rsidRDefault="00FD5CD7" w:rsidP="00FD5CD7">
      <w:pPr>
        <w:pStyle w:val="NumberedHeading1"/>
        <w:rPr>
          <w:lang w:val="en-AU"/>
        </w:rPr>
      </w:pPr>
      <w:bookmarkStart w:id="32" w:name="_Toc190427226"/>
      <w:r>
        <w:rPr>
          <w:lang w:val="en-AU"/>
        </w:rPr>
        <w:t>What does the future hold?</w:t>
      </w:r>
      <w:bookmarkEnd w:id="32"/>
      <w:r>
        <w:rPr>
          <w:lang w:val="en-AU"/>
        </w:rPr>
        <w:t xml:space="preserve"> </w:t>
      </w:r>
    </w:p>
    <w:p w14:paraId="6B252D97" w14:textId="6CE2A03F" w:rsidR="00A92773" w:rsidRPr="00A92773" w:rsidRDefault="00A92773" w:rsidP="00A92773">
      <w:pPr>
        <w:rPr>
          <w:lang w:val="en-AU"/>
        </w:rPr>
      </w:pPr>
      <w:r>
        <w:rPr>
          <w:lang w:val="en-AU"/>
        </w:rPr>
        <w:t xml:space="preserve">We expect 2025 to </w:t>
      </w:r>
      <w:r w:rsidR="000B3E14">
        <w:rPr>
          <w:lang w:val="en-AU"/>
        </w:rPr>
        <w:t>be</w:t>
      </w:r>
      <w:r>
        <w:rPr>
          <w:lang w:val="en-AU"/>
        </w:rPr>
        <w:t xml:space="preserve"> another year of significant change</w:t>
      </w:r>
      <w:r w:rsidR="004D4476">
        <w:rPr>
          <w:lang w:val="en-AU"/>
        </w:rPr>
        <w:t xml:space="preserve"> for the NDIS</w:t>
      </w:r>
      <w:r w:rsidR="00810334">
        <w:rPr>
          <w:lang w:val="en-AU"/>
        </w:rPr>
        <w:t xml:space="preserve">. With a federal election </w:t>
      </w:r>
      <w:r w:rsidR="0048659B">
        <w:rPr>
          <w:lang w:val="en-AU"/>
        </w:rPr>
        <w:t>due to be held on or before 17 May</w:t>
      </w:r>
      <w:r w:rsidR="00810334">
        <w:rPr>
          <w:lang w:val="en-AU"/>
        </w:rPr>
        <w:t xml:space="preserve">, the extent of that change is difficult to predict. </w:t>
      </w:r>
      <w:r w:rsidR="00BE7D9F">
        <w:rPr>
          <w:lang w:val="en-AU"/>
        </w:rPr>
        <w:t xml:space="preserve">However, </w:t>
      </w:r>
      <w:r w:rsidR="00D034D1">
        <w:rPr>
          <w:lang w:val="en-AU"/>
        </w:rPr>
        <w:t xml:space="preserve">some further reforms and </w:t>
      </w:r>
      <w:r w:rsidR="00792D8F">
        <w:rPr>
          <w:lang w:val="en-AU"/>
        </w:rPr>
        <w:t>other activities</w:t>
      </w:r>
      <w:r w:rsidR="0037736C">
        <w:rPr>
          <w:lang w:val="en-AU"/>
        </w:rPr>
        <w:t xml:space="preserve"> have already been </w:t>
      </w:r>
      <w:r w:rsidR="00D35750">
        <w:rPr>
          <w:lang w:val="en-AU"/>
        </w:rPr>
        <w:t>foreshadowed</w:t>
      </w:r>
      <w:r w:rsidR="00FF4226">
        <w:rPr>
          <w:lang w:val="en-AU"/>
        </w:rPr>
        <w:t>.</w:t>
      </w:r>
    </w:p>
    <w:p w14:paraId="57D36C75" w14:textId="4D442F19" w:rsidR="00FD5CD7" w:rsidRDefault="00AE593C" w:rsidP="00FD5CD7">
      <w:pPr>
        <w:pStyle w:val="NumberedHeading2"/>
      </w:pPr>
      <w:bookmarkStart w:id="33" w:name="_Toc190427227"/>
      <w:r>
        <w:t>Legislative reform and l</w:t>
      </w:r>
      <w:r w:rsidR="00FD5CD7">
        <w:t>eadership change</w:t>
      </w:r>
      <w:bookmarkEnd w:id="33"/>
    </w:p>
    <w:p w14:paraId="404E0A0B" w14:textId="3C86EB62" w:rsidR="00A62032" w:rsidRPr="00A62032" w:rsidRDefault="00943B0E" w:rsidP="00A62032">
      <w:pPr>
        <w:rPr>
          <w:lang w:val="en-AU"/>
        </w:rPr>
      </w:pPr>
      <w:r>
        <w:rPr>
          <w:lang w:val="en-AU"/>
        </w:rPr>
        <w:t xml:space="preserve">The Government’s </w:t>
      </w:r>
      <w:r w:rsidR="00A62032" w:rsidRPr="00A62032">
        <w:rPr>
          <w:lang w:val="en-AU"/>
        </w:rPr>
        <w:t>NDIS Bill No. 1</w:t>
      </w:r>
      <w:r>
        <w:rPr>
          <w:lang w:val="en-AU"/>
        </w:rPr>
        <w:t>, released</w:t>
      </w:r>
      <w:r w:rsidR="006F5EBA">
        <w:rPr>
          <w:lang w:val="en-AU"/>
        </w:rPr>
        <w:t xml:space="preserve"> last year</w:t>
      </w:r>
      <w:r w:rsidR="00234A4B">
        <w:rPr>
          <w:lang w:val="en-AU"/>
        </w:rPr>
        <w:t>,</w:t>
      </w:r>
      <w:r w:rsidR="00A62032" w:rsidRPr="00A62032">
        <w:rPr>
          <w:lang w:val="en-AU"/>
        </w:rPr>
        <w:t xml:space="preserve"> was intended to be the start of </w:t>
      </w:r>
      <w:r w:rsidR="00E508E0">
        <w:rPr>
          <w:lang w:val="en-AU"/>
        </w:rPr>
        <w:t xml:space="preserve">a longer process of </w:t>
      </w:r>
      <w:r w:rsidR="00A62032" w:rsidRPr="00A62032">
        <w:rPr>
          <w:lang w:val="en-AU"/>
        </w:rPr>
        <w:t>NDIS reform</w:t>
      </w:r>
      <w:r w:rsidR="00234A4B">
        <w:rPr>
          <w:lang w:val="en-AU"/>
        </w:rPr>
        <w:t xml:space="preserve"> by the </w:t>
      </w:r>
      <w:r w:rsidR="00451D77">
        <w:rPr>
          <w:lang w:val="en-AU"/>
        </w:rPr>
        <w:t>Commonwealth, state and territory governments</w:t>
      </w:r>
      <w:r w:rsidR="00A62032" w:rsidRPr="00A62032">
        <w:rPr>
          <w:lang w:val="en-AU"/>
        </w:rPr>
        <w:t xml:space="preserve">. The NDIS Review made 26 recommendations, only a fraction of which were implemented in 2024. </w:t>
      </w:r>
      <w:r w:rsidR="003F3729">
        <w:rPr>
          <w:lang w:val="en-AU"/>
        </w:rPr>
        <w:t>T</w:t>
      </w:r>
      <w:r w:rsidR="00A62032" w:rsidRPr="00A62032">
        <w:rPr>
          <w:lang w:val="en-AU"/>
        </w:rPr>
        <w:t xml:space="preserve">he NDIS Provider and Worker Registration Taskforce </w:t>
      </w:r>
      <w:r w:rsidR="003E5A78">
        <w:rPr>
          <w:lang w:val="en-AU"/>
        </w:rPr>
        <w:t xml:space="preserve">has since made </w:t>
      </w:r>
      <w:r w:rsidR="00C4735C">
        <w:rPr>
          <w:lang w:val="en-AU"/>
        </w:rPr>
        <w:t>its own</w:t>
      </w:r>
      <w:r w:rsidR="003E5A78">
        <w:rPr>
          <w:lang w:val="en-AU"/>
        </w:rPr>
        <w:t xml:space="preserve"> </w:t>
      </w:r>
      <w:r w:rsidR="00C4735C">
        <w:rPr>
          <w:lang w:val="en-AU"/>
        </w:rPr>
        <w:t>21 recommendations</w:t>
      </w:r>
      <w:r w:rsidR="009311A9">
        <w:rPr>
          <w:lang w:val="en-AU"/>
        </w:rPr>
        <w:t>, some of which</w:t>
      </w:r>
      <w:r w:rsidR="00B254F0">
        <w:rPr>
          <w:lang w:val="en-AU"/>
        </w:rPr>
        <w:t xml:space="preserve"> are expected to be implemented through the NDIS Commission’s Regulatory Reform Roadmap</w:t>
      </w:r>
      <w:r w:rsidR="00A62032" w:rsidRPr="00A62032">
        <w:rPr>
          <w:lang w:val="en-AU"/>
        </w:rPr>
        <w:t xml:space="preserve">. </w:t>
      </w:r>
    </w:p>
    <w:p w14:paraId="7BDE872D" w14:textId="03175E7E" w:rsidR="00640D27" w:rsidRDefault="00621FBB" w:rsidP="00A62032">
      <w:pPr>
        <w:rPr>
          <w:lang w:val="en-AU"/>
        </w:rPr>
      </w:pPr>
      <w:r w:rsidRPr="00A62032">
        <w:rPr>
          <w:lang w:val="en-AU"/>
        </w:rPr>
        <w:t xml:space="preserve">The Government </w:t>
      </w:r>
      <w:r w:rsidR="00455E2A">
        <w:rPr>
          <w:lang w:val="en-AU"/>
        </w:rPr>
        <w:t xml:space="preserve">has announced </w:t>
      </w:r>
      <w:r w:rsidR="0024485E">
        <w:rPr>
          <w:lang w:val="en-AU"/>
        </w:rPr>
        <w:t xml:space="preserve">it plans to release </w:t>
      </w:r>
      <w:r w:rsidR="00455E2A">
        <w:rPr>
          <w:lang w:val="en-AU"/>
        </w:rPr>
        <w:t>an exposure draft of its</w:t>
      </w:r>
      <w:r w:rsidRPr="00A62032">
        <w:rPr>
          <w:lang w:val="en-AU"/>
        </w:rPr>
        <w:t xml:space="preserve"> NDIS Bill No. 2</w:t>
      </w:r>
      <w:r w:rsidRPr="00A62032" w:rsidDel="0024485E">
        <w:rPr>
          <w:lang w:val="en-AU"/>
        </w:rPr>
        <w:t xml:space="preserve"> </w:t>
      </w:r>
      <w:r w:rsidRPr="00A62032">
        <w:rPr>
          <w:lang w:val="en-AU"/>
        </w:rPr>
        <w:t>by March 2025</w:t>
      </w:r>
      <w:r w:rsidR="009441A6">
        <w:rPr>
          <w:lang w:val="en-AU"/>
        </w:rPr>
        <w:t xml:space="preserve">, with the Bill </w:t>
      </w:r>
      <w:r w:rsidR="00A7736B">
        <w:rPr>
          <w:lang w:val="en-AU"/>
        </w:rPr>
        <w:t xml:space="preserve">expected to be </w:t>
      </w:r>
      <w:r w:rsidR="009441A6">
        <w:rPr>
          <w:lang w:val="en-AU"/>
        </w:rPr>
        <w:t>introduced to Parliament later in the year</w:t>
      </w:r>
      <w:r w:rsidRPr="00A62032">
        <w:rPr>
          <w:lang w:val="en-AU"/>
        </w:rPr>
        <w:t xml:space="preserve">. </w:t>
      </w:r>
      <w:r w:rsidR="006B2397">
        <w:rPr>
          <w:lang w:val="en-AU"/>
        </w:rPr>
        <w:t>A</w:t>
      </w:r>
      <w:r w:rsidR="00A62032" w:rsidRPr="00A62032">
        <w:rPr>
          <w:lang w:val="en-AU"/>
        </w:rPr>
        <w:t xml:space="preserve"> series of Rules to implement the measures </w:t>
      </w:r>
      <w:r w:rsidR="006B2397">
        <w:rPr>
          <w:lang w:val="en-AU"/>
        </w:rPr>
        <w:t>set out in</w:t>
      </w:r>
      <w:r w:rsidR="00A62032" w:rsidRPr="00A62032">
        <w:rPr>
          <w:lang w:val="en-AU"/>
        </w:rPr>
        <w:t xml:space="preserve"> NDIS Bill No. 1 </w:t>
      </w:r>
      <w:r w:rsidR="00F200C0">
        <w:rPr>
          <w:lang w:val="en-AU"/>
        </w:rPr>
        <w:t>should also be expected</w:t>
      </w:r>
      <w:r w:rsidR="005B5EF8">
        <w:rPr>
          <w:lang w:val="en-AU"/>
        </w:rPr>
        <w:t xml:space="preserve"> in the near-term</w:t>
      </w:r>
      <w:r w:rsidR="00640D27">
        <w:rPr>
          <w:lang w:val="en-AU"/>
        </w:rPr>
        <w:t>.</w:t>
      </w:r>
      <w:r w:rsidR="00A62032" w:rsidRPr="00A62032">
        <w:rPr>
          <w:lang w:val="en-AU"/>
        </w:rPr>
        <w:t xml:space="preserve"> </w:t>
      </w:r>
    </w:p>
    <w:p w14:paraId="0CE40DAF" w14:textId="63E1C151" w:rsidR="00A62032" w:rsidRPr="00A62032" w:rsidRDefault="00ED1B84" w:rsidP="00A62032">
      <w:pPr>
        <w:rPr>
          <w:lang w:val="en-AU"/>
        </w:rPr>
      </w:pPr>
      <w:r>
        <w:rPr>
          <w:lang w:val="en-AU"/>
        </w:rPr>
        <w:t xml:space="preserve">However, </w:t>
      </w:r>
      <w:r w:rsidR="00A62032" w:rsidRPr="00A62032">
        <w:rPr>
          <w:lang w:val="en-AU"/>
        </w:rPr>
        <w:t xml:space="preserve">the direction, scope and pace of further reforms will depend on the </w:t>
      </w:r>
      <w:r w:rsidR="00912D54">
        <w:rPr>
          <w:lang w:val="en-AU"/>
        </w:rPr>
        <w:t xml:space="preserve">federal election </w:t>
      </w:r>
      <w:r w:rsidR="00A62032" w:rsidRPr="00A62032">
        <w:rPr>
          <w:lang w:val="en-AU"/>
        </w:rPr>
        <w:t>outcome.</w:t>
      </w:r>
    </w:p>
    <w:p w14:paraId="400B530F" w14:textId="19085852" w:rsidR="00FD5CD7" w:rsidRDefault="0092598A" w:rsidP="00A62032">
      <w:pPr>
        <w:rPr>
          <w:lang w:val="en-AU"/>
        </w:rPr>
      </w:pPr>
      <w:r>
        <w:rPr>
          <w:lang w:val="en-AU"/>
        </w:rPr>
        <w:t xml:space="preserve">Following the retirement of Minister Bill Shorten in January 2025, responsibility </w:t>
      </w:r>
      <w:r w:rsidR="001369D1">
        <w:rPr>
          <w:lang w:val="en-AU"/>
        </w:rPr>
        <w:t xml:space="preserve">for </w:t>
      </w:r>
      <w:r w:rsidR="00A62032" w:rsidRPr="00A62032">
        <w:rPr>
          <w:lang w:val="en-AU"/>
        </w:rPr>
        <w:t xml:space="preserve">the NDIS portfolio </w:t>
      </w:r>
      <w:r w:rsidR="00D20210">
        <w:rPr>
          <w:lang w:val="en-AU"/>
        </w:rPr>
        <w:t>was handed to</w:t>
      </w:r>
      <w:r w:rsidR="00A62032" w:rsidRPr="00A62032">
        <w:rPr>
          <w:lang w:val="en-AU"/>
        </w:rPr>
        <w:t xml:space="preserve"> Minister Amanda Rishworth</w:t>
      </w:r>
      <w:r w:rsidR="00D332DD">
        <w:rPr>
          <w:lang w:val="en-AU"/>
        </w:rPr>
        <w:t>,</w:t>
      </w:r>
      <w:r w:rsidR="00A62032" w:rsidRPr="00A62032" w:rsidDel="00D20210">
        <w:rPr>
          <w:lang w:val="en-AU"/>
        </w:rPr>
        <w:t xml:space="preserve"> </w:t>
      </w:r>
      <w:r w:rsidR="00645F1F">
        <w:rPr>
          <w:lang w:val="en-AU"/>
        </w:rPr>
        <w:t xml:space="preserve">who is also </w:t>
      </w:r>
      <w:r w:rsidR="00726AE5">
        <w:rPr>
          <w:lang w:val="en-AU"/>
        </w:rPr>
        <w:t>Minister for Social Services</w:t>
      </w:r>
      <w:r w:rsidR="00A62032" w:rsidRPr="00A62032">
        <w:rPr>
          <w:lang w:val="en-AU"/>
        </w:rPr>
        <w:t xml:space="preserve">. Disability community voices have called for </w:t>
      </w:r>
      <w:r w:rsidR="00AB04BC">
        <w:rPr>
          <w:lang w:val="en-AU"/>
        </w:rPr>
        <w:t xml:space="preserve">the </w:t>
      </w:r>
      <w:r w:rsidR="00A62032" w:rsidRPr="00A62032">
        <w:rPr>
          <w:lang w:val="en-AU"/>
        </w:rPr>
        <w:t xml:space="preserve">Government to take the opportunity to implement </w:t>
      </w:r>
      <w:r w:rsidR="00CF3113">
        <w:rPr>
          <w:lang w:val="en-AU"/>
        </w:rPr>
        <w:t xml:space="preserve">a </w:t>
      </w:r>
      <w:r w:rsidR="00A62032" w:rsidRPr="00A62032">
        <w:rPr>
          <w:lang w:val="en-AU"/>
        </w:rPr>
        <w:t>recommendation</w:t>
      </w:r>
      <w:r w:rsidR="00CF3113">
        <w:rPr>
          <w:lang w:val="en-AU"/>
        </w:rPr>
        <w:t xml:space="preserve"> </w:t>
      </w:r>
      <w:r w:rsidR="00A62032" w:rsidRPr="00A62032">
        <w:rPr>
          <w:lang w:val="en-AU"/>
        </w:rPr>
        <w:t>from the Disability Royal Commission to establish a Minister for Disability Inclusion, uniting the responsibilities of the Minister for the NDIS and disability-related functions of the Minister for Social Services.</w:t>
      </w:r>
      <w:r w:rsidR="008A2C52">
        <w:rPr>
          <w:lang w:val="en-AU"/>
        </w:rPr>
        <w:t xml:space="preserve"> So far, this recommendation has not been taken up.</w:t>
      </w:r>
    </w:p>
    <w:p w14:paraId="6E653F7B" w14:textId="064E4F4E" w:rsidR="00A62032" w:rsidRDefault="008D7E2F" w:rsidP="00A62032">
      <w:pPr>
        <w:pStyle w:val="NumberedHeading2"/>
      </w:pPr>
      <w:bookmarkStart w:id="34" w:name="_Toc190427228"/>
      <w:r>
        <w:t>A</w:t>
      </w:r>
      <w:r w:rsidR="00A62032">
        <w:t>ccountability and compliance measures</w:t>
      </w:r>
      <w:bookmarkEnd w:id="34"/>
    </w:p>
    <w:p w14:paraId="5337FAB9" w14:textId="7334580C" w:rsidR="002C2F8F" w:rsidRPr="002C2F8F" w:rsidRDefault="002C2F8F" w:rsidP="002C2F8F">
      <w:pPr>
        <w:rPr>
          <w:lang w:val="en-AU"/>
        </w:rPr>
      </w:pPr>
      <w:r w:rsidRPr="002C2F8F">
        <w:rPr>
          <w:lang w:val="en-AU"/>
        </w:rPr>
        <w:t xml:space="preserve">Both Labor and the Coalition continue to </w:t>
      </w:r>
      <w:r w:rsidR="00404934">
        <w:rPr>
          <w:lang w:val="en-AU"/>
        </w:rPr>
        <w:t xml:space="preserve">focus </w:t>
      </w:r>
      <w:r w:rsidRPr="002C2F8F">
        <w:rPr>
          <w:lang w:val="en-AU"/>
        </w:rPr>
        <w:t xml:space="preserve">on the fiscal sustainability </w:t>
      </w:r>
      <w:r w:rsidR="00BF3E48">
        <w:rPr>
          <w:lang w:val="en-AU"/>
        </w:rPr>
        <w:t>of the NDIS</w:t>
      </w:r>
      <w:r w:rsidR="00E36A26">
        <w:rPr>
          <w:lang w:val="en-AU"/>
        </w:rPr>
        <w:t xml:space="preserve"> </w:t>
      </w:r>
      <w:r w:rsidRPr="002C2F8F">
        <w:rPr>
          <w:lang w:val="en-AU"/>
        </w:rPr>
        <w:t xml:space="preserve">and </w:t>
      </w:r>
      <w:r w:rsidR="00CD19F2">
        <w:rPr>
          <w:lang w:val="en-AU"/>
        </w:rPr>
        <w:t>initiatives to combat</w:t>
      </w:r>
      <w:r w:rsidR="00CD19F2" w:rsidRPr="002C2F8F">
        <w:rPr>
          <w:lang w:val="en-AU"/>
        </w:rPr>
        <w:t xml:space="preserve"> </w:t>
      </w:r>
      <w:r w:rsidRPr="002C2F8F">
        <w:rPr>
          <w:lang w:val="en-AU"/>
        </w:rPr>
        <w:t xml:space="preserve">fraud. </w:t>
      </w:r>
      <w:r w:rsidR="00992CDB">
        <w:rPr>
          <w:lang w:val="en-AU"/>
        </w:rPr>
        <w:t xml:space="preserve">The </w:t>
      </w:r>
      <w:r w:rsidRPr="002C2F8F">
        <w:rPr>
          <w:lang w:val="en-AU"/>
        </w:rPr>
        <w:t xml:space="preserve">NDIS Bill No. 2 is expected to focus on compliance and enforcement, with </w:t>
      </w:r>
      <w:r w:rsidR="00430E77">
        <w:rPr>
          <w:lang w:val="en-AU"/>
        </w:rPr>
        <w:t>increased</w:t>
      </w:r>
      <w:r w:rsidR="00430E77" w:rsidRPr="002C2F8F">
        <w:rPr>
          <w:lang w:val="en-AU"/>
        </w:rPr>
        <w:t xml:space="preserve"> </w:t>
      </w:r>
      <w:r w:rsidRPr="002C2F8F">
        <w:rPr>
          <w:lang w:val="en-AU"/>
        </w:rPr>
        <w:t xml:space="preserve">penalties for fraud and enhanced powers for the NDIS Quality and Safeguards Commission to initiate criminal investigations.  </w:t>
      </w:r>
    </w:p>
    <w:p w14:paraId="4C748AD3" w14:textId="06979A0E" w:rsidR="00A62032" w:rsidRDefault="000F646B" w:rsidP="002C2F8F">
      <w:pPr>
        <w:rPr>
          <w:lang w:val="en-AU"/>
        </w:rPr>
      </w:pPr>
      <w:r>
        <w:rPr>
          <w:lang w:val="en-AU"/>
        </w:rPr>
        <w:t>Significantly</w:t>
      </w:r>
      <w:r w:rsidR="002C2F8F" w:rsidRPr="002C2F8F">
        <w:rPr>
          <w:lang w:val="en-AU"/>
        </w:rPr>
        <w:t xml:space="preserve">, Minister Shorten announced </w:t>
      </w:r>
      <w:r w:rsidR="00905A07">
        <w:rPr>
          <w:lang w:val="en-AU"/>
        </w:rPr>
        <w:t xml:space="preserve">the </w:t>
      </w:r>
      <w:r w:rsidR="002C2F8F" w:rsidRPr="002C2F8F">
        <w:rPr>
          <w:lang w:val="en-AU"/>
        </w:rPr>
        <w:t>NDIS Bill No. 2 will increase penalties for providers when a participant is harmed or injured under their care</w:t>
      </w:r>
      <w:r w:rsidR="00100D76">
        <w:rPr>
          <w:lang w:val="en-AU"/>
        </w:rPr>
        <w:t>,</w:t>
      </w:r>
      <w:r w:rsidR="00BE2D24" w:rsidRPr="00BE2D24">
        <w:rPr>
          <w:lang w:val="en-AU"/>
        </w:rPr>
        <w:t xml:space="preserve"> </w:t>
      </w:r>
      <w:r w:rsidR="004F1238">
        <w:rPr>
          <w:lang w:val="en-AU"/>
        </w:rPr>
        <w:t>with</w:t>
      </w:r>
      <w:r w:rsidR="00BE2D24" w:rsidRPr="002C2F8F">
        <w:rPr>
          <w:lang w:val="en-AU"/>
        </w:rPr>
        <w:t xml:space="preserve"> </w:t>
      </w:r>
      <w:r w:rsidR="00F909B9">
        <w:rPr>
          <w:lang w:val="en-AU"/>
        </w:rPr>
        <w:t>the current</w:t>
      </w:r>
      <w:r w:rsidR="00BE2D24" w:rsidRPr="002C2F8F">
        <w:rPr>
          <w:lang w:val="en-AU"/>
        </w:rPr>
        <w:t xml:space="preserve"> </w:t>
      </w:r>
      <w:r w:rsidR="00867D29" w:rsidRPr="002C2F8F">
        <w:rPr>
          <w:lang w:val="en-AU"/>
        </w:rPr>
        <w:t xml:space="preserve">$400,000 </w:t>
      </w:r>
      <w:r w:rsidR="00BE2D24" w:rsidRPr="002C2F8F">
        <w:rPr>
          <w:lang w:val="en-AU"/>
        </w:rPr>
        <w:t xml:space="preserve">maximum </w:t>
      </w:r>
      <w:r w:rsidR="00B93E04">
        <w:rPr>
          <w:lang w:val="en-AU"/>
        </w:rPr>
        <w:t xml:space="preserve">penalty </w:t>
      </w:r>
      <w:r w:rsidR="004F1238">
        <w:rPr>
          <w:lang w:val="en-AU"/>
        </w:rPr>
        <w:t xml:space="preserve">rising </w:t>
      </w:r>
      <w:r w:rsidR="00BE2D24" w:rsidRPr="002C2F8F">
        <w:rPr>
          <w:lang w:val="en-AU"/>
        </w:rPr>
        <w:t xml:space="preserve">to </w:t>
      </w:r>
      <w:r w:rsidR="004E58EA">
        <w:rPr>
          <w:lang w:val="en-AU"/>
        </w:rPr>
        <w:t>more than</w:t>
      </w:r>
      <w:r w:rsidR="00BE2D24" w:rsidRPr="002C2F8F">
        <w:rPr>
          <w:lang w:val="en-AU"/>
        </w:rPr>
        <w:t xml:space="preserve"> $15 million</w:t>
      </w:r>
      <w:r w:rsidR="002C2F8F" w:rsidRPr="002C2F8F">
        <w:rPr>
          <w:lang w:val="en-AU"/>
        </w:rPr>
        <w:t xml:space="preserve">. This </w:t>
      </w:r>
      <w:r w:rsidR="000A17DD">
        <w:rPr>
          <w:lang w:val="en-AU"/>
        </w:rPr>
        <w:t>will</w:t>
      </w:r>
      <w:r w:rsidR="000A17DD" w:rsidRPr="002C2F8F">
        <w:rPr>
          <w:lang w:val="en-AU"/>
        </w:rPr>
        <w:t xml:space="preserve"> </w:t>
      </w:r>
      <w:r w:rsidR="002C2F8F" w:rsidRPr="002C2F8F">
        <w:rPr>
          <w:lang w:val="en-AU"/>
        </w:rPr>
        <w:t xml:space="preserve">align the maximum penalty for harming an NDIS participant with that for harming a worker in </w:t>
      </w:r>
      <w:r w:rsidR="005739B4">
        <w:rPr>
          <w:lang w:val="en-AU"/>
        </w:rPr>
        <w:t xml:space="preserve">a </w:t>
      </w:r>
      <w:r w:rsidR="002C2F8F" w:rsidRPr="002C2F8F">
        <w:rPr>
          <w:lang w:val="en-AU"/>
        </w:rPr>
        <w:t xml:space="preserve">breach of workplace health and safety </w:t>
      </w:r>
      <w:r w:rsidR="0037762B">
        <w:rPr>
          <w:lang w:val="en-AU"/>
        </w:rPr>
        <w:t>laws</w:t>
      </w:r>
      <w:r w:rsidR="002C2F8F" w:rsidRPr="002C2F8F">
        <w:rPr>
          <w:lang w:val="en-AU"/>
        </w:rPr>
        <w:t>.</w:t>
      </w:r>
    </w:p>
    <w:p w14:paraId="28E2AB03" w14:textId="257D1CF5" w:rsidR="002C2F8F" w:rsidRDefault="002C2F8F" w:rsidP="002C2F8F">
      <w:pPr>
        <w:pStyle w:val="NumberedHeading2"/>
      </w:pPr>
      <w:bookmarkStart w:id="35" w:name="_Toc190427229"/>
      <w:r>
        <w:t>Continued co-design processes</w:t>
      </w:r>
      <w:bookmarkEnd w:id="35"/>
    </w:p>
    <w:p w14:paraId="17C61B2D" w14:textId="1EDF3172" w:rsidR="005C7D49" w:rsidRDefault="004F1915" w:rsidP="002C2F8F">
      <w:r>
        <w:t>We expect to see continued e</w:t>
      </w:r>
      <w:r w:rsidR="00CA7113" w:rsidRPr="656E0D46">
        <w:t>ngagement with the disability community through the co-design process on key NDIS Rules</w:t>
      </w:r>
      <w:r w:rsidR="00743CD9">
        <w:t xml:space="preserve"> relating to</w:t>
      </w:r>
      <w:r w:rsidR="00CA7113" w:rsidRPr="656E0D46" w:rsidDel="005C47F6">
        <w:t xml:space="preserve"> </w:t>
      </w:r>
      <w:r w:rsidR="00AA23B4" w:rsidRPr="656E0D46">
        <w:t xml:space="preserve">access to the Scheme and </w:t>
      </w:r>
      <w:r w:rsidR="0064612C" w:rsidRPr="656E0D46">
        <w:t xml:space="preserve">the </w:t>
      </w:r>
      <w:r w:rsidR="00C20D14" w:rsidRPr="656E0D46">
        <w:t xml:space="preserve">design of </w:t>
      </w:r>
      <w:r w:rsidR="00783D1F" w:rsidRPr="656E0D46">
        <w:t xml:space="preserve">the </w:t>
      </w:r>
      <w:r w:rsidR="00C20D14" w:rsidRPr="656E0D46">
        <w:t xml:space="preserve">needs </w:t>
      </w:r>
      <w:r w:rsidR="00C20D14" w:rsidRPr="656E0D46">
        <w:lastRenderedPageBreak/>
        <w:t>assessment</w:t>
      </w:r>
      <w:r w:rsidR="00743CD9">
        <w:t xml:space="preserve"> (see</w:t>
      </w:r>
      <w:r w:rsidR="00093608">
        <w:t xml:space="preserve"> sections 2.2 and 3 above).</w:t>
      </w:r>
      <w:r w:rsidR="004977E4" w:rsidRPr="656E0D46">
        <w:t xml:space="preserve"> </w:t>
      </w:r>
      <w:r w:rsidR="005541B1">
        <w:t>Genuine c</w:t>
      </w:r>
      <w:r w:rsidR="0091701E">
        <w:t>o-design of these</w:t>
      </w:r>
      <w:r w:rsidR="00A15510">
        <w:t xml:space="preserve"> rules </w:t>
      </w:r>
      <w:r w:rsidR="0091701E">
        <w:t>is</w:t>
      </w:r>
      <w:r w:rsidR="00DB533F" w:rsidRPr="656E0D46">
        <w:t xml:space="preserve"> critical to the </w:t>
      </w:r>
      <w:r w:rsidR="002A19AF" w:rsidRPr="656E0D46">
        <w:t xml:space="preserve">operation of the </w:t>
      </w:r>
      <w:r w:rsidR="00BE28DB" w:rsidRPr="656E0D46">
        <w:t>Scheme and</w:t>
      </w:r>
      <w:r w:rsidR="004977E4" w:rsidRPr="656E0D46">
        <w:t xml:space="preserve"> </w:t>
      </w:r>
      <w:r w:rsidR="00A534FB" w:rsidRPr="656E0D46">
        <w:t>how well it works for participants</w:t>
      </w:r>
      <w:r w:rsidR="00CA7113" w:rsidRPr="656E0D46">
        <w:t xml:space="preserve">.  </w:t>
      </w:r>
    </w:p>
    <w:p w14:paraId="7DB6905D" w14:textId="30073070" w:rsidR="00D62DE8" w:rsidRPr="00D62DE8" w:rsidRDefault="00D62DE8" w:rsidP="00171833">
      <w:pPr>
        <w:pStyle w:val="NumberedHeading2"/>
      </w:pPr>
      <w:bookmarkStart w:id="36" w:name="_Toc190427230"/>
      <w:r w:rsidRPr="00D62DE8">
        <w:t>Foundational supports</w:t>
      </w:r>
      <w:bookmarkEnd w:id="36"/>
    </w:p>
    <w:p w14:paraId="02CFAB95" w14:textId="5CE509AE" w:rsidR="002C2F8F" w:rsidRPr="002C2F8F" w:rsidRDefault="00CA7113" w:rsidP="002C2F8F">
      <w:pPr>
        <w:rPr>
          <w:lang w:val="en-AU"/>
        </w:rPr>
      </w:pPr>
      <w:r>
        <w:rPr>
          <w:lang w:val="en-AU"/>
        </w:rPr>
        <w:t xml:space="preserve">We </w:t>
      </w:r>
      <w:r w:rsidRPr="00CA7113">
        <w:rPr>
          <w:lang w:val="en-AU"/>
        </w:rPr>
        <w:t xml:space="preserve">expect </w:t>
      </w:r>
      <w:r w:rsidR="009F1EF8">
        <w:rPr>
          <w:lang w:val="en-AU"/>
        </w:rPr>
        <w:t>some</w:t>
      </w:r>
      <w:r w:rsidRPr="00CA7113">
        <w:rPr>
          <w:lang w:val="en-AU"/>
        </w:rPr>
        <w:t xml:space="preserve"> clarity on the scope of </w:t>
      </w:r>
      <w:r w:rsidR="00712F55">
        <w:rPr>
          <w:lang w:val="en-AU"/>
        </w:rPr>
        <w:t>f</w:t>
      </w:r>
      <w:r w:rsidRPr="00CA7113">
        <w:rPr>
          <w:lang w:val="en-AU"/>
        </w:rPr>
        <w:t xml:space="preserve">oundational </w:t>
      </w:r>
      <w:r w:rsidR="00712F55">
        <w:rPr>
          <w:lang w:val="en-AU"/>
        </w:rPr>
        <w:t>s</w:t>
      </w:r>
      <w:r w:rsidRPr="00CA7113">
        <w:rPr>
          <w:lang w:val="en-AU"/>
        </w:rPr>
        <w:t>upports through the Foundational Support</w:t>
      </w:r>
      <w:r w:rsidR="00076695">
        <w:rPr>
          <w:lang w:val="en-AU"/>
        </w:rPr>
        <w:t>s</w:t>
      </w:r>
      <w:r w:rsidRPr="00CA7113">
        <w:rPr>
          <w:lang w:val="en-AU"/>
        </w:rPr>
        <w:t xml:space="preserve"> Strategy</w:t>
      </w:r>
      <w:r w:rsidR="005366E1">
        <w:rPr>
          <w:lang w:val="en-AU"/>
        </w:rPr>
        <w:t xml:space="preserve"> to be developed by</w:t>
      </w:r>
      <w:r w:rsidR="000D61D1">
        <w:rPr>
          <w:lang w:val="en-AU"/>
        </w:rPr>
        <w:t xml:space="preserve"> DSS</w:t>
      </w:r>
      <w:r w:rsidR="00F00636">
        <w:rPr>
          <w:lang w:val="en-AU"/>
        </w:rPr>
        <w:t xml:space="preserve">. This strategy </w:t>
      </w:r>
      <w:r w:rsidRPr="00CA7113">
        <w:rPr>
          <w:lang w:val="en-AU"/>
        </w:rPr>
        <w:t xml:space="preserve">was originally slated to be considered by National Cabinet in the second half of 2024 but is now expected in 2025. </w:t>
      </w:r>
      <w:r w:rsidR="00501040">
        <w:rPr>
          <w:lang w:val="en-AU"/>
        </w:rPr>
        <w:t>The Government says f</w:t>
      </w:r>
      <w:r w:rsidRPr="00CA7113">
        <w:rPr>
          <w:lang w:val="en-AU"/>
        </w:rPr>
        <w:t xml:space="preserve">oundational supports </w:t>
      </w:r>
      <w:r w:rsidR="000B481A">
        <w:rPr>
          <w:lang w:val="en-AU"/>
        </w:rPr>
        <w:t>are due</w:t>
      </w:r>
      <w:r w:rsidR="004463CC">
        <w:rPr>
          <w:lang w:val="en-AU"/>
        </w:rPr>
        <w:t xml:space="preserve"> to be rolled </w:t>
      </w:r>
      <w:r w:rsidRPr="00CA7113">
        <w:rPr>
          <w:lang w:val="en-AU"/>
        </w:rPr>
        <w:t>out</w:t>
      </w:r>
      <w:r w:rsidRPr="00CA7113" w:rsidDel="00520AB1">
        <w:rPr>
          <w:lang w:val="en-AU"/>
        </w:rPr>
        <w:t xml:space="preserve"> </w:t>
      </w:r>
      <w:r w:rsidRPr="00CA7113">
        <w:rPr>
          <w:lang w:val="en-AU"/>
        </w:rPr>
        <w:t xml:space="preserve">from mid-2025.  </w:t>
      </w:r>
    </w:p>
    <w:sectPr w:rsidR="002C2F8F" w:rsidRPr="002C2F8F" w:rsidSect="006D6FCD">
      <w:pgSz w:w="11900" w:h="16840"/>
      <w:pgMar w:top="1287"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30B1" w14:textId="77777777" w:rsidR="00E47963" w:rsidRDefault="00E47963" w:rsidP="00A55D9C">
      <w:pPr>
        <w:spacing w:after="0" w:line="240" w:lineRule="auto"/>
      </w:pPr>
      <w:r>
        <w:separator/>
      </w:r>
    </w:p>
  </w:endnote>
  <w:endnote w:type="continuationSeparator" w:id="0">
    <w:p w14:paraId="38DFABED" w14:textId="77777777" w:rsidR="00E47963" w:rsidRDefault="00E47963" w:rsidP="00A55D9C">
      <w:pPr>
        <w:spacing w:after="0" w:line="240" w:lineRule="auto"/>
      </w:pPr>
      <w:r>
        <w:continuationSeparator/>
      </w:r>
    </w:p>
  </w:endnote>
  <w:endnote w:type="continuationNotice" w:id="1">
    <w:p w14:paraId="066D0060" w14:textId="77777777" w:rsidR="00E47963" w:rsidRDefault="00E47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FADC" w14:textId="77777777" w:rsidR="00E47963" w:rsidRDefault="00E47963" w:rsidP="00A55D9C">
      <w:pPr>
        <w:spacing w:after="0" w:line="240" w:lineRule="auto"/>
      </w:pPr>
      <w:r>
        <w:separator/>
      </w:r>
    </w:p>
  </w:footnote>
  <w:footnote w:type="continuationSeparator" w:id="0">
    <w:p w14:paraId="0F503B32" w14:textId="77777777" w:rsidR="00E47963" w:rsidRDefault="00E47963" w:rsidP="00A55D9C">
      <w:pPr>
        <w:spacing w:after="0" w:line="240" w:lineRule="auto"/>
      </w:pPr>
      <w:r>
        <w:continuationSeparator/>
      </w:r>
    </w:p>
  </w:footnote>
  <w:footnote w:type="continuationNotice" w:id="1">
    <w:p w14:paraId="36B922FB" w14:textId="77777777" w:rsidR="00E47963" w:rsidRDefault="00E479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48A"/>
    <w:multiLevelType w:val="hybridMultilevel"/>
    <w:tmpl w:val="957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652"/>
    <w:multiLevelType w:val="hybridMultilevel"/>
    <w:tmpl w:val="E2A20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F6021C"/>
    <w:multiLevelType w:val="hybridMultilevel"/>
    <w:tmpl w:val="354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5E3E"/>
    <w:multiLevelType w:val="hybridMultilevel"/>
    <w:tmpl w:val="2C02B23E"/>
    <w:lvl w:ilvl="0" w:tplc="64F0A0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526B6"/>
    <w:multiLevelType w:val="hybridMultilevel"/>
    <w:tmpl w:val="C0A8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04853"/>
    <w:multiLevelType w:val="hybridMultilevel"/>
    <w:tmpl w:val="C754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A6D7E"/>
    <w:multiLevelType w:val="hybridMultilevel"/>
    <w:tmpl w:val="AC7C7BF8"/>
    <w:lvl w:ilvl="0" w:tplc="4DFE95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96101"/>
    <w:multiLevelType w:val="hybridMultilevel"/>
    <w:tmpl w:val="587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92635"/>
    <w:multiLevelType w:val="hybridMultilevel"/>
    <w:tmpl w:val="2B74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41FA4"/>
    <w:multiLevelType w:val="multilevel"/>
    <w:tmpl w:val="E30240BA"/>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18AB0E2A"/>
    <w:multiLevelType w:val="hybridMultilevel"/>
    <w:tmpl w:val="2E22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0244F"/>
    <w:multiLevelType w:val="hybridMultilevel"/>
    <w:tmpl w:val="2BEC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B7812"/>
    <w:multiLevelType w:val="hybridMultilevel"/>
    <w:tmpl w:val="402E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E219E"/>
    <w:multiLevelType w:val="hybridMultilevel"/>
    <w:tmpl w:val="BEC055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D9A2E90"/>
    <w:multiLevelType w:val="hybridMultilevel"/>
    <w:tmpl w:val="9A1ED5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55D06"/>
    <w:multiLevelType w:val="hybridMultilevel"/>
    <w:tmpl w:val="D21C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31C39"/>
    <w:multiLevelType w:val="hybridMultilevel"/>
    <w:tmpl w:val="D38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17BAE"/>
    <w:multiLevelType w:val="hybridMultilevel"/>
    <w:tmpl w:val="37FE8DFE"/>
    <w:lvl w:ilvl="0" w:tplc="B7F0F5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80E31"/>
    <w:multiLevelType w:val="hybridMultilevel"/>
    <w:tmpl w:val="210C2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03B27"/>
    <w:multiLevelType w:val="hybridMultilevel"/>
    <w:tmpl w:val="F136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15E10"/>
    <w:multiLevelType w:val="hybridMultilevel"/>
    <w:tmpl w:val="CB3085EA"/>
    <w:lvl w:ilvl="0" w:tplc="714EC11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4D6267C0"/>
    <w:multiLevelType w:val="hybridMultilevel"/>
    <w:tmpl w:val="E09EB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77210"/>
    <w:multiLevelType w:val="hybridMultilevel"/>
    <w:tmpl w:val="5E0C6B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0D232A0"/>
    <w:multiLevelType w:val="hybridMultilevel"/>
    <w:tmpl w:val="A626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A01CB"/>
    <w:multiLevelType w:val="hybridMultilevel"/>
    <w:tmpl w:val="E6AE4C6C"/>
    <w:lvl w:ilvl="0" w:tplc="90AC5FC6">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5C3285D"/>
    <w:multiLevelType w:val="hybridMultilevel"/>
    <w:tmpl w:val="304E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775E9"/>
    <w:multiLevelType w:val="hybridMultilevel"/>
    <w:tmpl w:val="2BAE2618"/>
    <w:lvl w:ilvl="0" w:tplc="F3F805AA">
      <w:start w:val="1"/>
      <w:numFmt w:val="decimal"/>
      <w:pStyle w:val="NumberedListleftjustifi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BA0A5F"/>
    <w:multiLevelType w:val="hybridMultilevel"/>
    <w:tmpl w:val="23E0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C5416"/>
    <w:multiLevelType w:val="hybridMultilevel"/>
    <w:tmpl w:val="97D444F2"/>
    <w:lvl w:ilvl="0" w:tplc="6472F9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E7799"/>
    <w:multiLevelType w:val="hybridMultilevel"/>
    <w:tmpl w:val="A7F4B2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510D47"/>
    <w:multiLevelType w:val="hybridMultilevel"/>
    <w:tmpl w:val="2FB0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12998"/>
    <w:multiLevelType w:val="hybridMultilevel"/>
    <w:tmpl w:val="A896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936064">
    <w:abstractNumId w:val="20"/>
  </w:num>
  <w:num w:numId="2" w16cid:durableId="315688454">
    <w:abstractNumId w:val="9"/>
  </w:num>
  <w:num w:numId="3" w16cid:durableId="385571122">
    <w:abstractNumId w:val="9"/>
  </w:num>
  <w:num w:numId="4" w16cid:durableId="136607176">
    <w:abstractNumId w:val="9"/>
  </w:num>
  <w:num w:numId="5" w16cid:durableId="711079403">
    <w:abstractNumId w:val="9"/>
  </w:num>
  <w:num w:numId="6" w16cid:durableId="2043703970">
    <w:abstractNumId w:val="24"/>
  </w:num>
  <w:num w:numId="7" w16cid:durableId="1651901574">
    <w:abstractNumId w:val="17"/>
  </w:num>
  <w:num w:numId="8" w16cid:durableId="1993172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225384">
    <w:abstractNumId w:val="28"/>
  </w:num>
  <w:num w:numId="10" w16cid:durableId="1829780485">
    <w:abstractNumId w:val="28"/>
  </w:num>
  <w:num w:numId="11" w16cid:durableId="1310479450">
    <w:abstractNumId w:val="9"/>
  </w:num>
  <w:num w:numId="12" w16cid:durableId="1357853639">
    <w:abstractNumId w:val="9"/>
  </w:num>
  <w:num w:numId="13" w16cid:durableId="1259288883">
    <w:abstractNumId w:val="9"/>
  </w:num>
  <w:num w:numId="14" w16cid:durableId="1187409358">
    <w:abstractNumId w:val="9"/>
  </w:num>
  <w:num w:numId="15" w16cid:durableId="1269581099">
    <w:abstractNumId w:val="3"/>
  </w:num>
  <w:num w:numId="16" w16cid:durableId="781802123">
    <w:abstractNumId w:val="26"/>
  </w:num>
  <w:num w:numId="17" w16cid:durableId="947542889">
    <w:abstractNumId w:val="1"/>
  </w:num>
  <w:num w:numId="18" w16cid:durableId="1068844307">
    <w:abstractNumId w:val="15"/>
  </w:num>
  <w:num w:numId="19" w16cid:durableId="503282499">
    <w:abstractNumId w:val="30"/>
  </w:num>
  <w:num w:numId="20" w16cid:durableId="637419447">
    <w:abstractNumId w:val="5"/>
  </w:num>
  <w:num w:numId="21" w16cid:durableId="1137646076">
    <w:abstractNumId w:val="31"/>
  </w:num>
  <w:num w:numId="22" w16cid:durableId="1879467088">
    <w:abstractNumId w:val="6"/>
  </w:num>
  <w:num w:numId="23" w16cid:durableId="486169771">
    <w:abstractNumId w:val="25"/>
  </w:num>
  <w:num w:numId="24" w16cid:durableId="228000147">
    <w:abstractNumId w:val="4"/>
  </w:num>
  <w:num w:numId="25" w16cid:durableId="302321442">
    <w:abstractNumId w:val="14"/>
  </w:num>
  <w:num w:numId="26" w16cid:durableId="1118452172">
    <w:abstractNumId w:val="2"/>
  </w:num>
  <w:num w:numId="27" w16cid:durableId="1745031020">
    <w:abstractNumId w:val="29"/>
  </w:num>
  <w:num w:numId="28" w16cid:durableId="794755509">
    <w:abstractNumId w:val="11"/>
  </w:num>
  <w:num w:numId="29" w16cid:durableId="773283013">
    <w:abstractNumId w:val="19"/>
  </w:num>
  <w:num w:numId="30" w16cid:durableId="1602757364">
    <w:abstractNumId w:val="13"/>
  </w:num>
  <w:num w:numId="31" w16cid:durableId="1252348903">
    <w:abstractNumId w:val="8"/>
  </w:num>
  <w:num w:numId="32" w16cid:durableId="1348947974">
    <w:abstractNumId w:val="18"/>
  </w:num>
  <w:num w:numId="33" w16cid:durableId="848645369">
    <w:abstractNumId w:val="16"/>
  </w:num>
  <w:num w:numId="34" w16cid:durableId="1588077255">
    <w:abstractNumId w:val="27"/>
  </w:num>
  <w:num w:numId="35" w16cid:durableId="1985502784">
    <w:abstractNumId w:val="10"/>
  </w:num>
  <w:num w:numId="36" w16cid:durableId="644747566">
    <w:abstractNumId w:val="21"/>
  </w:num>
  <w:num w:numId="37" w16cid:durableId="528954865">
    <w:abstractNumId w:val="7"/>
  </w:num>
  <w:num w:numId="38" w16cid:durableId="2111929988">
    <w:abstractNumId w:val="23"/>
  </w:num>
  <w:num w:numId="39" w16cid:durableId="1795557466">
    <w:abstractNumId w:val="0"/>
  </w:num>
  <w:num w:numId="40" w16cid:durableId="1368143875">
    <w:abstractNumId w:val="12"/>
  </w:num>
  <w:num w:numId="41" w16cid:durableId="1067763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FD"/>
    <w:rsid w:val="0000056C"/>
    <w:rsid w:val="000006DF"/>
    <w:rsid w:val="000007DB"/>
    <w:rsid w:val="00000A32"/>
    <w:rsid w:val="00001AE9"/>
    <w:rsid w:val="000026EC"/>
    <w:rsid w:val="00002D9D"/>
    <w:rsid w:val="000032EA"/>
    <w:rsid w:val="0000462C"/>
    <w:rsid w:val="000065E2"/>
    <w:rsid w:val="000107B9"/>
    <w:rsid w:val="00013655"/>
    <w:rsid w:val="00013F91"/>
    <w:rsid w:val="000165A2"/>
    <w:rsid w:val="000210FA"/>
    <w:rsid w:val="00021EA9"/>
    <w:rsid w:val="00022388"/>
    <w:rsid w:val="000257DD"/>
    <w:rsid w:val="0002642C"/>
    <w:rsid w:val="00026E5D"/>
    <w:rsid w:val="0002763E"/>
    <w:rsid w:val="00030050"/>
    <w:rsid w:val="000309A7"/>
    <w:rsid w:val="00030D88"/>
    <w:rsid w:val="00031060"/>
    <w:rsid w:val="00031FAE"/>
    <w:rsid w:val="000325E8"/>
    <w:rsid w:val="000327F7"/>
    <w:rsid w:val="00032C2C"/>
    <w:rsid w:val="0003422C"/>
    <w:rsid w:val="00040450"/>
    <w:rsid w:val="000411DD"/>
    <w:rsid w:val="0004186A"/>
    <w:rsid w:val="00042145"/>
    <w:rsid w:val="000459B8"/>
    <w:rsid w:val="00046403"/>
    <w:rsid w:val="00046839"/>
    <w:rsid w:val="00046DC1"/>
    <w:rsid w:val="00047A81"/>
    <w:rsid w:val="000509E1"/>
    <w:rsid w:val="00050ACA"/>
    <w:rsid w:val="00050EEB"/>
    <w:rsid w:val="00053E85"/>
    <w:rsid w:val="00054DA3"/>
    <w:rsid w:val="00055F4E"/>
    <w:rsid w:val="000566B6"/>
    <w:rsid w:val="000579C4"/>
    <w:rsid w:val="00057F44"/>
    <w:rsid w:val="0006063B"/>
    <w:rsid w:val="00060FB8"/>
    <w:rsid w:val="00061511"/>
    <w:rsid w:val="000618E9"/>
    <w:rsid w:val="00065E92"/>
    <w:rsid w:val="00067D5E"/>
    <w:rsid w:val="00070264"/>
    <w:rsid w:val="00072153"/>
    <w:rsid w:val="00072A79"/>
    <w:rsid w:val="00073E8A"/>
    <w:rsid w:val="000743A9"/>
    <w:rsid w:val="0007537E"/>
    <w:rsid w:val="00076695"/>
    <w:rsid w:val="0008055E"/>
    <w:rsid w:val="00080C14"/>
    <w:rsid w:val="000830A1"/>
    <w:rsid w:val="00083123"/>
    <w:rsid w:val="00083648"/>
    <w:rsid w:val="0008477A"/>
    <w:rsid w:val="000850F5"/>
    <w:rsid w:val="000852D4"/>
    <w:rsid w:val="00086C6C"/>
    <w:rsid w:val="000901FA"/>
    <w:rsid w:val="00090C70"/>
    <w:rsid w:val="00093608"/>
    <w:rsid w:val="0009557E"/>
    <w:rsid w:val="00096838"/>
    <w:rsid w:val="00096903"/>
    <w:rsid w:val="000969CC"/>
    <w:rsid w:val="00097FCF"/>
    <w:rsid w:val="000A17DD"/>
    <w:rsid w:val="000A3447"/>
    <w:rsid w:val="000A58EF"/>
    <w:rsid w:val="000A5A32"/>
    <w:rsid w:val="000B0ACA"/>
    <w:rsid w:val="000B0F1D"/>
    <w:rsid w:val="000B1124"/>
    <w:rsid w:val="000B1F02"/>
    <w:rsid w:val="000B3E14"/>
    <w:rsid w:val="000B46AA"/>
    <w:rsid w:val="000B481A"/>
    <w:rsid w:val="000B6C24"/>
    <w:rsid w:val="000B758B"/>
    <w:rsid w:val="000C0013"/>
    <w:rsid w:val="000C10A7"/>
    <w:rsid w:val="000C1261"/>
    <w:rsid w:val="000C1D75"/>
    <w:rsid w:val="000C3BC9"/>
    <w:rsid w:val="000C46F4"/>
    <w:rsid w:val="000C5B2F"/>
    <w:rsid w:val="000C6F81"/>
    <w:rsid w:val="000D01F4"/>
    <w:rsid w:val="000D20C5"/>
    <w:rsid w:val="000D3064"/>
    <w:rsid w:val="000D3987"/>
    <w:rsid w:val="000D3B17"/>
    <w:rsid w:val="000D424D"/>
    <w:rsid w:val="000D4740"/>
    <w:rsid w:val="000D4A5E"/>
    <w:rsid w:val="000D507F"/>
    <w:rsid w:val="000D61D1"/>
    <w:rsid w:val="000D6BEB"/>
    <w:rsid w:val="000D6D12"/>
    <w:rsid w:val="000D6FA0"/>
    <w:rsid w:val="000D720E"/>
    <w:rsid w:val="000E12C7"/>
    <w:rsid w:val="000E1F1E"/>
    <w:rsid w:val="000E2D87"/>
    <w:rsid w:val="000E351E"/>
    <w:rsid w:val="000E3C58"/>
    <w:rsid w:val="000E4CCE"/>
    <w:rsid w:val="000E6818"/>
    <w:rsid w:val="000E7D81"/>
    <w:rsid w:val="000F371A"/>
    <w:rsid w:val="000F39FC"/>
    <w:rsid w:val="000F560B"/>
    <w:rsid w:val="000F578C"/>
    <w:rsid w:val="000F6090"/>
    <w:rsid w:val="000F646B"/>
    <w:rsid w:val="000F6ECC"/>
    <w:rsid w:val="000F7462"/>
    <w:rsid w:val="000F7968"/>
    <w:rsid w:val="0010002E"/>
    <w:rsid w:val="00100875"/>
    <w:rsid w:val="00100D76"/>
    <w:rsid w:val="0010205D"/>
    <w:rsid w:val="00103B49"/>
    <w:rsid w:val="00104E4D"/>
    <w:rsid w:val="00105EB0"/>
    <w:rsid w:val="001102DF"/>
    <w:rsid w:val="00110E79"/>
    <w:rsid w:val="001114BC"/>
    <w:rsid w:val="00111831"/>
    <w:rsid w:val="0011184A"/>
    <w:rsid w:val="001118EA"/>
    <w:rsid w:val="00112E08"/>
    <w:rsid w:val="0011354F"/>
    <w:rsid w:val="0011456F"/>
    <w:rsid w:val="001150EC"/>
    <w:rsid w:val="0011529E"/>
    <w:rsid w:val="00115983"/>
    <w:rsid w:val="00115BBF"/>
    <w:rsid w:val="00116144"/>
    <w:rsid w:val="001166A5"/>
    <w:rsid w:val="00117CA2"/>
    <w:rsid w:val="001201A7"/>
    <w:rsid w:val="001204A6"/>
    <w:rsid w:val="001206F5"/>
    <w:rsid w:val="001207F3"/>
    <w:rsid w:val="00121219"/>
    <w:rsid w:val="00121BC1"/>
    <w:rsid w:val="00121DAC"/>
    <w:rsid w:val="00122ADB"/>
    <w:rsid w:val="00122D35"/>
    <w:rsid w:val="001238A2"/>
    <w:rsid w:val="00124D4D"/>
    <w:rsid w:val="00125560"/>
    <w:rsid w:val="00125D8D"/>
    <w:rsid w:val="00127412"/>
    <w:rsid w:val="00130701"/>
    <w:rsid w:val="00130D38"/>
    <w:rsid w:val="00132CB4"/>
    <w:rsid w:val="00133E90"/>
    <w:rsid w:val="00134109"/>
    <w:rsid w:val="0013431D"/>
    <w:rsid w:val="00134F35"/>
    <w:rsid w:val="001356D1"/>
    <w:rsid w:val="00136061"/>
    <w:rsid w:val="001369D1"/>
    <w:rsid w:val="0013722A"/>
    <w:rsid w:val="001373C1"/>
    <w:rsid w:val="00137BA5"/>
    <w:rsid w:val="00137BF4"/>
    <w:rsid w:val="001400F2"/>
    <w:rsid w:val="0014076A"/>
    <w:rsid w:val="0014143E"/>
    <w:rsid w:val="00142AB2"/>
    <w:rsid w:val="001435F9"/>
    <w:rsid w:val="00145ABF"/>
    <w:rsid w:val="00145C54"/>
    <w:rsid w:val="001469FD"/>
    <w:rsid w:val="00146E65"/>
    <w:rsid w:val="001500BF"/>
    <w:rsid w:val="001507A4"/>
    <w:rsid w:val="001534AE"/>
    <w:rsid w:val="00153EA5"/>
    <w:rsid w:val="00154382"/>
    <w:rsid w:val="001555FD"/>
    <w:rsid w:val="001566F3"/>
    <w:rsid w:val="00160321"/>
    <w:rsid w:val="00163980"/>
    <w:rsid w:val="001640E0"/>
    <w:rsid w:val="0016574F"/>
    <w:rsid w:val="001668A7"/>
    <w:rsid w:val="00166EE0"/>
    <w:rsid w:val="00167BB1"/>
    <w:rsid w:val="00167E71"/>
    <w:rsid w:val="001702F4"/>
    <w:rsid w:val="0017067D"/>
    <w:rsid w:val="00170F19"/>
    <w:rsid w:val="001714FA"/>
    <w:rsid w:val="00171833"/>
    <w:rsid w:val="00172FCD"/>
    <w:rsid w:val="00174E1E"/>
    <w:rsid w:val="00175C6E"/>
    <w:rsid w:val="00176BD6"/>
    <w:rsid w:val="00177F33"/>
    <w:rsid w:val="00180AE6"/>
    <w:rsid w:val="001811B1"/>
    <w:rsid w:val="00182269"/>
    <w:rsid w:val="00182353"/>
    <w:rsid w:val="00187536"/>
    <w:rsid w:val="00187E10"/>
    <w:rsid w:val="00187F4A"/>
    <w:rsid w:val="00190E18"/>
    <w:rsid w:val="00192026"/>
    <w:rsid w:val="0019257B"/>
    <w:rsid w:val="0019482F"/>
    <w:rsid w:val="001950C2"/>
    <w:rsid w:val="00195E0D"/>
    <w:rsid w:val="00196BE1"/>
    <w:rsid w:val="00197361"/>
    <w:rsid w:val="001A02DD"/>
    <w:rsid w:val="001A04DF"/>
    <w:rsid w:val="001A09EC"/>
    <w:rsid w:val="001A1AA1"/>
    <w:rsid w:val="001A1BF1"/>
    <w:rsid w:val="001A3B91"/>
    <w:rsid w:val="001A4F22"/>
    <w:rsid w:val="001A5518"/>
    <w:rsid w:val="001A7182"/>
    <w:rsid w:val="001B0399"/>
    <w:rsid w:val="001B1513"/>
    <w:rsid w:val="001B1624"/>
    <w:rsid w:val="001B1993"/>
    <w:rsid w:val="001B1B19"/>
    <w:rsid w:val="001B3459"/>
    <w:rsid w:val="001B5055"/>
    <w:rsid w:val="001B50CD"/>
    <w:rsid w:val="001B58CB"/>
    <w:rsid w:val="001B5F7F"/>
    <w:rsid w:val="001B7B90"/>
    <w:rsid w:val="001C0186"/>
    <w:rsid w:val="001C05EE"/>
    <w:rsid w:val="001C116A"/>
    <w:rsid w:val="001C3096"/>
    <w:rsid w:val="001C4716"/>
    <w:rsid w:val="001C4BE5"/>
    <w:rsid w:val="001C4E31"/>
    <w:rsid w:val="001C4FE4"/>
    <w:rsid w:val="001C54B6"/>
    <w:rsid w:val="001C5775"/>
    <w:rsid w:val="001C7097"/>
    <w:rsid w:val="001C722F"/>
    <w:rsid w:val="001D0D00"/>
    <w:rsid w:val="001D198A"/>
    <w:rsid w:val="001D2F39"/>
    <w:rsid w:val="001D5E3D"/>
    <w:rsid w:val="001D7DA6"/>
    <w:rsid w:val="001E055C"/>
    <w:rsid w:val="001E0677"/>
    <w:rsid w:val="001E11FA"/>
    <w:rsid w:val="001E311F"/>
    <w:rsid w:val="001E529E"/>
    <w:rsid w:val="001E558B"/>
    <w:rsid w:val="001E685B"/>
    <w:rsid w:val="001F447D"/>
    <w:rsid w:val="001F4A63"/>
    <w:rsid w:val="001F5BDF"/>
    <w:rsid w:val="001F65CF"/>
    <w:rsid w:val="001F7E17"/>
    <w:rsid w:val="002019BD"/>
    <w:rsid w:val="002028FB"/>
    <w:rsid w:val="00202E24"/>
    <w:rsid w:val="00203265"/>
    <w:rsid w:val="00203C8F"/>
    <w:rsid w:val="0020434B"/>
    <w:rsid w:val="0020530C"/>
    <w:rsid w:val="00205B14"/>
    <w:rsid w:val="00205F18"/>
    <w:rsid w:val="002078A2"/>
    <w:rsid w:val="002122BB"/>
    <w:rsid w:val="00212A51"/>
    <w:rsid w:val="00212EEE"/>
    <w:rsid w:val="00213362"/>
    <w:rsid w:val="002146C8"/>
    <w:rsid w:val="0021490F"/>
    <w:rsid w:val="00214BB2"/>
    <w:rsid w:val="00214F77"/>
    <w:rsid w:val="00214FEE"/>
    <w:rsid w:val="002150F7"/>
    <w:rsid w:val="00215517"/>
    <w:rsid w:val="00215DBD"/>
    <w:rsid w:val="00216811"/>
    <w:rsid w:val="00216EB4"/>
    <w:rsid w:val="00217B8F"/>
    <w:rsid w:val="00217F1C"/>
    <w:rsid w:val="002209E4"/>
    <w:rsid w:val="002214FD"/>
    <w:rsid w:val="00221968"/>
    <w:rsid w:val="00222831"/>
    <w:rsid w:val="0022289C"/>
    <w:rsid w:val="00223518"/>
    <w:rsid w:val="0022402A"/>
    <w:rsid w:val="00224A9A"/>
    <w:rsid w:val="002250B0"/>
    <w:rsid w:val="002251E7"/>
    <w:rsid w:val="00225C0B"/>
    <w:rsid w:val="00225EB0"/>
    <w:rsid w:val="002261D8"/>
    <w:rsid w:val="00226A89"/>
    <w:rsid w:val="0022741B"/>
    <w:rsid w:val="0023080B"/>
    <w:rsid w:val="00230E39"/>
    <w:rsid w:val="002314D9"/>
    <w:rsid w:val="002327E3"/>
    <w:rsid w:val="00232E34"/>
    <w:rsid w:val="002339DB"/>
    <w:rsid w:val="00233B6B"/>
    <w:rsid w:val="002340C2"/>
    <w:rsid w:val="00234A4B"/>
    <w:rsid w:val="00235B0C"/>
    <w:rsid w:val="00236A70"/>
    <w:rsid w:val="00237923"/>
    <w:rsid w:val="00240280"/>
    <w:rsid w:val="00240CBD"/>
    <w:rsid w:val="00244697"/>
    <w:rsid w:val="0024485E"/>
    <w:rsid w:val="00247A50"/>
    <w:rsid w:val="002516F8"/>
    <w:rsid w:val="002526B3"/>
    <w:rsid w:val="0025386A"/>
    <w:rsid w:val="002547BB"/>
    <w:rsid w:val="0025506C"/>
    <w:rsid w:val="002562D6"/>
    <w:rsid w:val="002565E2"/>
    <w:rsid w:val="00257A20"/>
    <w:rsid w:val="00261428"/>
    <w:rsid w:val="00262715"/>
    <w:rsid w:val="00263DC4"/>
    <w:rsid w:val="00266CCC"/>
    <w:rsid w:val="002672F2"/>
    <w:rsid w:val="00270AA3"/>
    <w:rsid w:val="00270C03"/>
    <w:rsid w:val="00271A6D"/>
    <w:rsid w:val="00274950"/>
    <w:rsid w:val="00274BFB"/>
    <w:rsid w:val="002769FB"/>
    <w:rsid w:val="0027791C"/>
    <w:rsid w:val="0028075F"/>
    <w:rsid w:val="00281881"/>
    <w:rsid w:val="002820FD"/>
    <w:rsid w:val="002834B6"/>
    <w:rsid w:val="002837FF"/>
    <w:rsid w:val="00283CEB"/>
    <w:rsid w:val="00284E7E"/>
    <w:rsid w:val="002851B1"/>
    <w:rsid w:val="002853FE"/>
    <w:rsid w:val="00286605"/>
    <w:rsid w:val="002877C4"/>
    <w:rsid w:val="00290046"/>
    <w:rsid w:val="0029073E"/>
    <w:rsid w:val="0029105F"/>
    <w:rsid w:val="00293F4F"/>
    <w:rsid w:val="00295A5B"/>
    <w:rsid w:val="00295AB7"/>
    <w:rsid w:val="0029726C"/>
    <w:rsid w:val="002974B7"/>
    <w:rsid w:val="002A1653"/>
    <w:rsid w:val="002A1681"/>
    <w:rsid w:val="002A19AF"/>
    <w:rsid w:val="002A2024"/>
    <w:rsid w:val="002A23B9"/>
    <w:rsid w:val="002A3879"/>
    <w:rsid w:val="002A3BDF"/>
    <w:rsid w:val="002A4099"/>
    <w:rsid w:val="002A415F"/>
    <w:rsid w:val="002A4720"/>
    <w:rsid w:val="002A4A1D"/>
    <w:rsid w:val="002A500A"/>
    <w:rsid w:val="002A50E6"/>
    <w:rsid w:val="002A6AD6"/>
    <w:rsid w:val="002B0DE1"/>
    <w:rsid w:val="002B10B8"/>
    <w:rsid w:val="002B22AF"/>
    <w:rsid w:val="002B2C47"/>
    <w:rsid w:val="002B2E7E"/>
    <w:rsid w:val="002B57E6"/>
    <w:rsid w:val="002B5921"/>
    <w:rsid w:val="002B5C17"/>
    <w:rsid w:val="002C013A"/>
    <w:rsid w:val="002C1277"/>
    <w:rsid w:val="002C1E6C"/>
    <w:rsid w:val="002C23AD"/>
    <w:rsid w:val="002C2BD2"/>
    <w:rsid w:val="002C2F8F"/>
    <w:rsid w:val="002C3CA8"/>
    <w:rsid w:val="002C579F"/>
    <w:rsid w:val="002D0493"/>
    <w:rsid w:val="002D0800"/>
    <w:rsid w:val="002D0F97"/>
    <w:rsid w:val="002D1CB5"/>
    <w:rsid w:val="002D2DEB"/>
    <w:rsid w:val="002D2EDE"/>
    <w:rsid w:val="002D361C"/>
    <w:rsid w:val="002D5706"/>
    <w:rsid w:val="002D5A34"/>
    <w:rsid w:val="002D748E"/>
    <w:rsid w:val="002E02C5"/>
    <w:rsid w:val="002E10A5"/>
    <w:rsid w:val="002E18C0"/>
    <w:rsid w:val="002E1ACA"/>
    <w:rsid w:val="002E2B24"/>
    <w:rsid w:val="002E39FE"/>
    <w:rsid w:val="002E3A22"/>
    <w:rsid w:val="002E41E4"/>
    <w:rsid w:val="002E6687"/>
    <w:rsid w:val="002E6E3F"/>
    <w:rsid w:val="002E741F"/>
    <w:rsid w:val="002F0544"/>
    <w:rsid w:val="002F08D9"/>
    <w:rsid w:val="002F1480"/>
    <w:rsid w:val="002F23D4"/>
    <w:rsid w:val="002F38DB"/>
    <w:rsid w:val="002F3F8E"/>
    <w:rsid w:val="002F45E0"/>
    <w:rsid w:val="002F6051"/>
    <w:rsid w:val="002F6137"/>
    <w:rsid w:val="002F73A8"/>
    <w:rsid w:val="002F7547"/>
    <w:rsid w:val="002F7E98"/>
    <w:rsid w:val="00300C6B"/>
    <w:rsid w:val="0030461D"/>
    <w:rsid w:val="0030465C"/>
    <w:rsid w:val="00306341"/>
    <w:rsid w:val="00306638"/>
    <w:rsid w:val="00307738"/>
    <w:rsid w:val="00310F9F"/>
    <w:rsid w:val="003119E2"/>
    <w:rsid w:val="0031275D"/>
    <w:rsid w:val="00312AFE"/>
    <w:rsid w:val="003137ED"/>
    <w:rsid w:val="00314422"/>
    <w:rsid w:val="0031550E"/>
    <w:rsid w:val="0031572F"/>
    <w:rsid w:val="003177BF"/>
    <w:rsid w:val="0032012E"/>
    <w:rsid w:val="0032149E"/>
    <w:rsid w:val="00321C06"/>
    <w:rsid w:val="00322BF7"/>
    <w:rsid w:val="003250B9"/>
    <w:rsid w:val="00325686"/>
    <w:rsid w:val="00326D1B"/>
    <w:rsid w:val="0033036F"/>
    <w:rsid w:val="00331E74"/>
    <w:rsid w:val="0033554E"/>
    <w:rsid w:val="0033600D"/>
    <w:rsid w:val="00336E39"/>
    <w:rsid w:val="00337E81"/>
    <w:rsid w:val="003405C7"/>
    <w:rsid w:val="00341AA2"/>
    <w:rsid w:val="003437D6"/>
    <w:rsid w:val="00344A90"/>
    <w:rsid w:val="0034543A"/>
    <w:rsid w:val="0034545D"/>
    <w:rsid w:val="00346352"/>
    <w:rsid w:val="00346E59"/>
    <w:rsid w:val="00350792"/>
    <w:rsid w:val="00350BEF"/>
    <w:rsid w:val="003534A8"/>
    <w:rsid w:val="00353E8A"/>
    <w:rsid w:val="00355370"/>
    <w:rsid w:val="00357322"/>
    <w:rsid w:val="00360AA4"/>
    <w:rsid w:val="00361013"/>
    <w:rsid w:val="00362EE7"/>
    <w:rsid w:val="00363548"/>
    <w:rsid w:val="00364320"/>
    <w:rsid w:val="003654C2"/>
    <w:rsid w:val="003662A1"/>
    <w:rsid w:val="003668A8"/>
    <w:rsid w:val="00370030"/>
    <w:rsid w:val="0037032B"/>
    <w:rsid w:val="0037065F"/>
    <w:rsid w:val="003715AD"/>
    <w:rsid w:val="0037177D"/>
    <w:rsid w:val="0037184B"/>
    <w:rsid w:val="003722FA"/>
    <w:rsid w:val="00372E63"/>
    <w:rsid w:val="003739F6"/>
    <w:rsid w:val="00373B26"/>
    <w:rsid w:val="00374E27"/>
    <w:rsid w:val="00375946"/>
    <w:rsid w:val="00375EAB"/>
    <w:rsid w:val="003761BC"/>
    <w:rsid w:val="0037662E"/>
    <w:rsid w:val="003770B6"/>
    <w:rsid w:val="00377298"/>
    <w:rsid w:val="0037736C"/>
    <w:rsid w:val="0037762B"/>
    <w:rsid w:val="0038239A"/>
    <w:rsid w:val="003824E2"/>
    <w:rsid w:val="003829C8"/>
    <w:rsid w:val="00382A05"/>
    <w:rsid w:val="0038380E"/>
    <w:rsid w:val="003866CA"/>
    <w:rsid w:val="00390EE0"/>
    <w:rsid w:val="00392596"/>
    <w:rsid w:val="003930DD"/>
    <w:rsid w:val="003931D1"/>
    <w:rsid w:val="003932CF"/>
    <w:rsid w:val="00393A4E"/>
    <w:rsid w:val="00393A6B"/>
    <w:rsid w:val="00394898"/>
    <w:rsid w:val="00395476"/>
    <w:rsid w:val="00395A99"/>
    <w:rsid w:val="00396F92"/>
    <w:rsid w:val="00397E59"/>
    <w:rsid w:val="003A07F4"/>
    <w:rsid w:val="003A0BE1"/>
    <w:rsid w:val="003A15EC"/>
    <w:rsid w:val="003A163F"/>
    <w:rsid w:val="003A3CE1"/>
    <w:rsid w:val="003A43B1"/>
    <w:rsid w:val="003A44CB"/>
    <w:rsid w:val="003A47D2"/>
    <w:rsid w:val="003A4EC5"/>
    <w:rsid w:val="003A561D"/>
    <w:rsid w:val="003A7248"/>
    <w:rsid w:val="003B013C"/>
    <w:rsid w:val="003B1D39"/>
    <w:rsid w:val="003B276D"/>
    <w:rsid w:val="003B43A5"/>
    <w:rsid w:val="003B6884"/>
    <w:rsid w:val="003B73EA"/>
    <w:rsid w:val="003B7F71"/>
    <w:rsid w:val="003C080A"/>
    <w:rsid w:val="003C1240"/>
    <w:rsid w:val="003C14EE"/>
    <w:rsid w:val="003C1BB1"/>
    <w:rsid w:val="003C20A2"/>
    <w:rsid w:val="003C26E4"/>
    <w:rsid w:val="003C522F"/>
    <w:rsid w:val="003C57E4"/>
    <w:rsid w:val="003C5E2E"/>
    <w:rsid w:val="003C64A6"/>
    <w:rsid w:val="003C6C6A"/>
    <w:rsid w:val="003D0440"/>
    <w:rsid w:val="003D2C4B"/>
    <w:rsid w:val="003D2D01"/>
    <w:rsid w:val="003D353D"/>
    <w:rsid w:val="003D46A6"/>
    <w:rsid w:val="003D50F6"/>
    <w:rsid w:val="003D7167"/>
    <w:rsid w:val="003D7553"/>
    <w:rsid w:val="003D7AF5"/>
    <w:rsid w:val="003E185F"/>
    <w:rsid w:val="003E3C7C"/>
    <w:rsid w:val="003E54C3"/>
    <w:rsid w:val="003E5A78"/>
    <w:rsid w:val="003E633C"/>
    <w:rsid w:val="003E6825"/>
    <w:rsid w:val="003E6D1E"/>
    <w:rsid w:val="003E7453"/>
    <w:rsid w:val="003E7FE1"/>
    <w:rsid w:val="003F06FB"/>
    <w:rsid w:val="003F134E"/>
    <w:rsid w:val="003F2276"/>
    <w:rsid w:val="003F2CD8"/>
    <w:rsid w:val="003F2FAB"/>
    <w:rsid w:val="003F3729"/>
    <w:rsid w:val="003F3F1F"/>
    <w:rsid w:val="003F585A"/>
    <w:rsid w:val="003F692D"/>
    <w:rsid w:val="003F70D8"/>
    <w:rsid w:val="003F7341"/>
    <w:rsid w:val="003F737D"/>
    <w:rsid w:val="003F7D32"/>
    <w:rsid w:val="004018A6"/>
    <w:rsid w:val="00402AFC"/>
    <w:rsid w:val="00403D76"/>
    <w:rsid w:val="00404934"/>
    <w:rsid w:val="00404BBB"/>
    <w:rsid w:val="00404D00"/>
    <w:rsid w:val="004059CB"/>
    <w:rsid w:val="0040608E"/>
    <w:rsid w:val="004069B5"/>
    <w:rsid w:val="004076A9"/>
    <w:rsid w:val="004101E2"/>
    <w:rsid w:val="004106CC"/>
    <w:rsid w:val="0041073B"/>
    <w:rsid w:val="004111BF"/>
    <w:rsid w:val="00411224"/>
    <w:rsid w:val="00412179"/>
    <w:rsid w:val="0041274D"/>
    <w:rsid w:val="00412A2E"/>
    <w:rsid w:val="004145F1"/>
    <w:rsid w:val="00414C01"/>
    <w:rsid w:val="00416945"/>
    <w:rsid w:val="00416B64"/>
    <w:rsid w:val="00416BFF"/>
    <w:rsid w:val="004174B7"/>
    <w:rsid w:val="0041761A"/>
    <w:rsid w:val="00417A35"/>
    <w:rsid w:val="00420809"/>
    <w:rsid w:val="00422EA1"/>
    <w:rsid w:val="00423230"/>
    <w:rsid w:val="00423651"/>
    <w:rsid w:val="00425031"/>
    <w:rsid w:val="00425AED"/>
    <w:rsid w:val="00425D84"/>
    <w:rsid w:val="00425FDC"/>
    <w:rsid w:val="00426845"/>
    <w:rsid w:val="00427475"/>
    <w:rsid w:val="00430BB6"/>
    <w:rsid w:val="00430D3B"/>
    <w:rsid w:val="00430E77"/>
    <w:rsid w:val="00431618"/>
    <w:rsid w:val="00431762"/>
    <w:rsid w:val="0043188A"/>
    <w:rsid w:val="00432DBB"/>
    <w:rsid w:val="00432FBC"/>
    <w:rsid w:val="0043334A"/>
    <w:rsid w:val="00433BBE"/>
    <w:rsid w:val="0044090D"/>
    <w:rsid w:val="00440A41"/>
    <w:rsid w:val="00442AD3"/>
    <w:rsid w:val="00443077"/>
    <w:rsid w:val="004454D4"/>
    <w:rsid w:val="004454E1"/>
    <w:rsid w:val="00445F83"/>
    <w:rsid w:val="004463CC"/>
    <w:rsid w:val="00446757"/>
    <w:rsid w:val="00447DBF"/>
    <w:rsid w:val="00450E31"/>
    <w:rsid w:val="00451132"/>
    <w:rsid w:val="00451D77"/>
    <w:rsid w:val="00451F0D"/>
    <w:rsid w:val="00455BA9"/>
    <w:rsid w:val="00455E2A"/>
    <w:rsid w:val="00456055"/>
    <w:rsid w:val="004561D8"/>
    <w:rsid w:val="004562D7"/>
    <w:rsid w:val="004565E0"/>
    <w:rsid w:val="0045689D"/>
    <w:rsid w:val="004569F5"/>
    <w:rsid w:val="00456A17"/>
    <w:rsid w:val="0046012E"/>
    <w:rsid w:val="0046345A"/>
    <w:rsid w:val="00463AA0"/>
    <w:rsid w:val="00463AF0"/>
    <w:rsid w:val="00464339"/>
    <w:rsid w:val="004649D7"/>
    <w:rsid w:val="00466037"/>
    <w:rsid w:val="004665C8"/>
    <w:rsid w:val="00470375"/>
    <w:rsid w:val="00470625"/>
    <w:rsid w:val="00470980"/>
    <w:rsid w:val="00470CC9"/>
    <w:rsid w:val="00470FFF"/>
    <w:rsid w:val="0047107A"/>
    <w:rsid w:val="00471564"/>
    <w:rsid w:val="00472DB9"/>
    <w:rsid w:val="00474119"/>
    <w:rsid w:val="00474507"/>
    <w:rsid w:val="00474F8B"/>
    <w:rsid w:val="00477714"/>
    <w:rsid w:val="00480FC9"/>
    <w:rsid w:val="004812E8"/>
    <w:rsid w:val="00481CB0"/>
    <w:rsid w:val="004837F0"/>
    <w:rsid w:val="0048411B"/>
    <w:rsid w:val="00485477"/>
    <w:rsid w:val="00485D6E"/>
    <w:rsid w:val="0048659B"/>
    <w:rsid w:val="00493384"/>
    <w:rsid w:val="00493737"/>
    <w:rsid w:val="00493ADE"/>
    <w:rsid w:val="0049479C"/>
    <w:rsid w:val="0049549A"/>
    <w:rsid w:val="00495C52"/>
    <w:rsid w:val="00496D65"/>
    <w:rsid w:val="004977E4"/>
    <w:rsid w:val="004A0548"/>
    <w:rsid w:val="004A0D51"/>
    <w:rsid w:val="004A1347"/>
    <w:rsid w:val="004A2BD9"/>
    <w:rsid w:val="004A3387"/>
    <w:rsid w:val="004A5540"/>
    <w:rsid w:val="004A563F"/>
    <w:rsid w:val="004A685A"/>
    <w:rsid w:val="004B249C"/>
    <w:rsid w:val="004B26A4"/>
    <w:rsid w:val="004B2DBE"/>
    <w:rsid w:val="004B3F2B"/>
    <w:rsid w:val="004B52CB"/>
    <w:rsid w:val="004B5583"/>
    <w:rsid w:val="004B5AA2"/>
    <w:rsid w:val="004B62F1"/>
    <w:rsid w:val="004B65D6"/>
    <w:rsid w:val="004B6798"/>
    <w:rsid w:val="004B79A4"/>
    <w:rsid w:val="004B7B55"/>
    <w:rsid w:val="004C0157"/>
    <w:rsid w:val="004C2821"/>
    <w:rsid w:val="004C5AFF"/>
    <w:rsid w:val="004C5D4E"/>
    <w:rsid w:val="004C603F"/>
    <w:rsid w:val="004C7331"/>
    <w:rsid w:val="004C7515"/>
    <w:rsid w:val="004D15D1"/>
    <w:rsid w:val="004D1EEC"/>
    <w:rsid w:val="004D3108"/>
    <w:rsid w:val="004D342F"/>
    <w:rsid w:val="004D3B4A"/>
    <w:rsid w:val="004D4476"/>
    <w:rsid w:val="004D448D"/>
    <w:rsid w:val="004D639E"/>
    <w:rsid w:val="004D6ADD"/>
    <w:rsid w:val="004D7551"/>
    <w:rsid w:val="004E10CC"/>
    <w:rsid w:val="004E1D21"/>
    <w:rsid w:val="004E2CC4"/>
    <w:rsid w:val="004E3224"/>
    <w:rsid w:val="004E4F5C"/>
    <w:rsid w:val="004E58EA"/>
    <w:rsid w:val="004E5A83"/>
    <w:rsid w:val="004E61C6"/>
    <w:rsid w:val="004E64CB"/>
    <w:rsid w:val="004E6EEE"/>
    <w:rsid w:val="004E75F9"/>
    <w:rsid w:val="004E77C5"/>
    <w:rsid w:val="004E7B90"/>
    <w:rsid w:val="004F06A9"/>
    <w:rsid w:val="004F1238"/>
    <w:rsid w:val="004F1915"/>
    <w:rsid w:val="004F389B"/>
    <w:rsid w:val="004F3A28"/>
    <w:rsid w:val="004F471A"/>
    <w:rsid w:val="004F503B"/>
    <w:rsid w:val="004F59B4"/>
    <w:rsid w:val="004F5B7D"/>
    <w:rsid w:val="004F5DE9"/>
    <w:rsid w:val="004F62F8"/>
    <w:rsid w:val="004F658A"/>
    <w:rsid w:val="004F668A"/>
    <w:rsid w:val="004F73AD"/>
    <w:rsid w:val="004F7A01"/>
    <w:rsid w:val="0050028F"/>
    <w:rsid w:val="00500B84"/>
    <w:rsid w:val="00501040"/>
    <w:rsid w:val="0050201A"/>
    <w:rsid w:val="005022F2"/>
    <w:rsid w:val="005037C4"/>
    <w:rsid w:val="00504FE5"/>
    <w:rsid w:val="00507B0E"/>
    <w:rsid w:val="00510203"/>
    <w:rsid w:val="005121B7"/>
    <w:rsid w:val="005142B6"/>
    <w:rsid w:val="00514830"/>
    <w:rsid w:val="00515830"/>
    <w:rsid w:val="00515FC2"/>
    <w:rsid w:val="00516022"/>
    <w:rsid w:val="00520AB1"/>
    <w:rsid w:val="00523BB9"/>
    <w:rsid w:val="00523D6C"/>
    <w:rsid w:val="005242D3"/>
    <w:rsid w:val="0052436D"/>
    <w:rsid w:val="0052639D"/>
    <w:rsid w:val="0052677A"/>
    <w:rsid w:val="00527D7D"/>
    <w:rsid w:val="00527DE9"/>
    <w:rsid w:val="0053136D"/>
    <w:rsid w:val="00531D78"/>
    <w:rsid w:val="005329B9"/>
    <w:rsid w:val="00533799"/>
    <w:rsid w:val="00533B38"/>
    <w:rsid w:val="005346E4"/>
    <w:rsid w:val="00535725"/>
    <w:rsid w:val="005364C7"/>
    <w:rsid w:val="005366E1"/>
    <w:rsid w:val="00536907"/>
    <w:rsid w:val="00536DF2"/>
    <w:rsid w:val="00540318"/>
    <w:rsid w:val="00540E86"/>
    <w:rsid w:val="005425BA"/>
    <w:rsid w:val="00542F37"/>
    <w:rsid w:val="005434B2"/>
    <w:rsid w:val="005448FB"/>
    <w:rsid w:val="00547A0A"/>
    <w:rsid w:val="00547CEE"/>
    <w:rsid w:val="00547F26"/>
    <w:rsid w:val="0055032E"/>
    <w:rsid w:val="0055193F"/>
    <w:rsid w:val="00552144"/>
    <w:rsid w:val="00552308"/>
    <w:rsid w:val="0055275C"/>
    <w:rsid w:val="0055347F"/>
    <w:rsid w:val="005541B1"/>
    <w:rsid w:val="0055437A"/>
    <w:rsid w:val="00554C56"/>
    <w:rsid w:val="00556E51"/>
    <w:rsid w:val="0055758E"/>
    <w:rsid w:val="005614CA"/>
    <w:rsid w:val="005617F1"/>
    <w:rsid w:val="0056368F"/>
    <w:rsid w:val="00565445"/>
    <w:rsid w:val="00565784"/>
    <w:rsid w:val="005658C8"/>
    <w:rsid w:val="00565C5D"/>
    <w:rsid w:val="00565C93"/>
    <w:rsid w:val="00565E33"/>
    <w:rsid w:val="00566981"/>
    <w:rsid w:val="00566DA4"/>
    <w:rsid w:val="00570538"/>
    <w:rsid w:val="00570575"/>
    <w:rsid w:val="005711FA"/>
    <w:rsid w:val="005725E0"/>
    <w:rsid w:val="005733A2"/>
    <w:rsid w:val="005733B9"/>
    <w:rsid w:val="005738C9"/>
    <w:rsid w:val="005739B4"/>
    <w:rsid w:val="00573FD0"/>
    <w:rsid w:val="00575558"/>
    <w:rsid w:val="00576431"/>
    <w:rsid w:val="00576828"/>
    <w:rsid w:val="00577E6D"/>
    <w:rsid w:val="00580CBC"/>
    <w:rsid w:val="00580FAC"/>
    <w:rsid w:val="00582A41"/>
    <w:rsid w:val="0058484E"/>
    <w:rsid w:val="005854B9"/>
    <w:rsid w:val="00585957"/>
    <w:rsid w:val="00585D4E"/>
    <w:rsid w:val="00587D4D"/>
    <w:rsid w:val="00592D5B"/>
    <w:rsid w:val="005951A2"/>
    <w:rsid w:val="00596C07"/>
    <w:rsid w:val="00596E6E"/>
    <w:rsid w:val="00597FC0"/>
    <w:rsid w:val="005A0300"/>
    <w:rsid w:val="005A032D"/>
    <w:rsid w:val="005A0A34"/>
    <w:rsid w:val="005A0EC0"/>
    <w:rsid w:val="005A35B1"/>
    <w:rsid w:val="005A44E9"/>
    <w:rsid w:val="005A4550"/>
    <w:rsid w:val="005A4D58"/>
    <w:rsid w:val="005A560B"/>
    <w:rsid w:val="005A5E20"/>
    <w:rsid w:val="005A7DD1"/>
    <w:rsid w:val="005B0055"/>
    <w:rsid w:val="005B04CA"/>
    <w:rsid w:val="005B0943"/>
    <w:rsid w:val="005B0B59"/>
    <w:rsid w:val="005B0CC5"/>
    <w:rsid w:val="005B12EF"/>
    <w:rsid w:val="005B1630"/>
    <w:rsid w:val="005B2F52"/>
    <w:rsid w:val="005B56EE"/>
    <w:rsid w:val="005B58D7"/>
    <w:rsid w:val="005B5EF8"/>
    <w:rsid w:val="005B66EF"/>
    <w:rsid w:val="005B79AA"/>
    <w:rsid w:val="005C084D"/>
    <w:rsid w:val="005C11A4"/>
    <w:rsid w:val="005C1F9E"/>
    <w:rsid w:val="005C2087"/>
    <w:rsid w:val="005C2164"/>
    <w:rsid w:val="005C303E"/>
    <w:rsid w:val="005C47F6"/>
    <w:rsid w:val="005C6D22"/>
    <w:rsid w:val="005C7059"/>
    <w:rsid w:val="005C7917"/>
    <w:rsid w:val="005C7D49"/>
    <w:rsid w:val="005D0168"/>
    <w:rsid w:val="005D1293"/>
    <w:rsid w:val="005D2379"/>
    <w:rsid w:val="005D2975"/>
    <w:rsid w:val="005D3761"/>
    <w:rsid w:val="005D5254"/>
    <w:rsid w:val="005D5C1A"/>
    <w:rsid w:val="005D6A29"/>
    <w:rsid w:val="005D7FB9"/>
    <w:rsid w:val="005E0469"/>
    <w:rsid w:val="005E0BEA"/>
    <w:rsid w:val="005E0E32"/>
    <w:rsid w:val="005E1A35"/>
    <w:rsid w:val="005E1D3F"/>
    <w:rsid w:val="005E2B61"/>
    <w:rsid w:val="005E626E"/>
    <w:rsid w:val="005E6E2B"/>
    <w:rsid w:val="005F3812"/>
    <w:rsid w:val="005F3FA1"/>
    <w:rsid w:val="005F3FCA"/>
    <w:rsid w:val="005F56E7"/>
    <w:rsid w:val="005F7C3C"/>
    <w:rsid w:val="00600A49"/>
    <w:rsid w:val="0060587D"/>
    <w:rsid w:val="0060600E"/>
    <w:rsid w:val="00606DC0"/>
    <w:rsid w:val="00607171"/>
    <w:rsid w:val="00607379"/>
    <w:rsid w:val="00607465"/>
    <w:rsid w:val="00607E36"/>
    <w:rsid w:val="00607EEA"/>
    <w:rsid w:val="00611B43"/>
    <w:rsid w:val="0061411D"/>
    <w:rsid w:val="00614764"/>
    <w:rsid w:val="00614833"/>
    <w:rsid w:val="00614BF3"/>
    <w:rsid w:val="006157C8"/>
    <w:rsid w:val="00615A75"/>
    <w:rsid w:val="0061617A"/>
    <w:rsid w:val="006163E0"/>
    <w:rsid w:val="00616EB6"/>
    <w:rsid w:val="00617562"/>
    <w:rsid w:val="00617800"/>
    <w:rsid w:val="00620160"/>
    <w:rsid w:val="00621FBB"/>
    <w:rsid w:val="00621FF4"/>
    <w:rsid w:val="00622565"/>
    <w:rsid w:val="00623E78"/>
    <w:rsid w:val="00625690"/>
    <w:rsid w:val="00625BD7"/>
    <w:rsid w:val="00625CE3"/>
    <w:rsid w:val="00626B16"/>
    <w:rsid w:val="00627A28"/>
    <w:rsid w:val="0063173D"/>
    <w:rsid w:val="0063372A"/>
    <w:rsid w:val="00633B7E"/>
    <w:rsid w:val="00634BE3"/>
    <w:rsid w:val="00635B1F"/>
    <w:rsid w:val="00636D17"/>
    <w:rsid w:val="00637CC2"/>
    <w:rsid w:val="00637CE9"/>
    <w:rsid w:val="00640D27"/>
    <w:rsid w:val="00641D77"/>
    <w:rsid w:val="00642534"/>
    <w:rsid w:val="0064380E"/>
    <w:rsid w:val="00643D7C"/>
    <w:rsid w:val="006440F3"/>
    <w:rsid w:val="00644645"/>
    <w:rsid w:val="006452F1"/>
    <w:rsid w:val="00645545"/>
    <w:rsid w:val="0064567F"/>
    <w:rsid w:val="00645A10"/>
    <w:rsid w:val="00645F1F"/>
    <w:rsid w:val="00645F9F"/>
    <w:rsid w:val="0064612C"/>
    <w:rsid w:val="00647588"/>
    <w:rsid w:val="006503C5"/>
    <w:rsid w:val="00650A35"/>
    <w:rsid w:val="00650BAF"/>
    <w:rsid w:val="00652E7C"/>
    <w:rsid w:val="00653272"/>
    <w:rsid w:val="006533BD"/>
    <w:rsid w:val="00654154"/>
    <w:rsid w:val="0065489E"/>
    <w:rsid w:val="00654B2E"/>
    <w:rsid w:val="0065648D"/>
    <w:rsid w:val="00657ED8"/>
    <w:rsid w:val="00660530"/>
    <w:rsid w:val="006606B5"/>
    <w:rsid w:val="00661D5D"/>
    <w:rsid w:val="00661DB8"/>
    <w:rsid w:val="006638AF"/>
    <w:rsid w:val="0066501D"/>
    <w:rsid w:val="006650EA"/>
    <w:rsid w:val="00667381"/>
    <w:rsid w:val="00672234"/>
    <w:rsid w:val="00673179"/>
    <w:rsid w:val="006744A7"/>
    <w:rsid w:val="00675824"/>
    <w:rsid w:val="006767DE"/>
    <w:rsid w:val="0068015D"/>
    <w:rsid w:val="006812B4"/>
    <w:rsid w:val="00682737"/>
    <w:rsid w:val="00682AA6"/>
    <w:rsid w:val="00682AC3"/>
    <w:rsid w:val="006832FC"/>
    <w:rsid w:val="006841B5"/>
    <w:rsid w:val="00684B8F"/>
    <w:rsid w:val="006862BE"/>
    <w:rsid w:val="00686307"/>
    <w:rsid w:val="006900DB"/>
    <w:rsid w:val="00690C12"/>
    <w:rsid w:val="006912AC"/>
    <w:rsid w:val="006913DD"/>
    <w:rsid w:val="00692620"/>
    <w:rsid w:val="00692998"/>
    <w:rsid w:val="00693736"/>
    <w:rsid w:val="00694EE2"/>
    <w:rsid w:val="00694F6A"/>
    <w:rsid w:val="00695DA9"/>
    <w:rsid w:val="00697BEC"/>
    <w:rsid w:val="00697DF7"/>
    <w:rsid w:val="006A0AB4"/>
    <w:rsid w:val="006A1EF5"/>
    <w:rsid w:val="006A3024"/>
    <w:rsid w:val="006A3864"/>
    <w:rsid w:val="006A40E2"/>
    <w:rsid w:val="006A6D21"/>
    <w:rsid w:val="006A74D3"/>
    <w:rsid w:val="006B10AF"/>
    <w:rsid w:val="006B1543"/>
    <w:rsid w:val="006B2058"/>
    <w:rsid w:val="006B2112"/>
    <w:rsid w:val="006B2397"/>
    <w:rsid w:val="006B2E72"/>
    <w:rsid w:val="006B4644"/>
    <w:rsid w:val="006B4999"/>
    <w:rsid w:val="006B567B"/>
    <w:rsid w:val="006B59C4"/>
    <w:rsid w:val="006B6691"/>
    <w:rsid w:val="006B68BB"/>
    <w:rsid w:val="006B7E2B"/>
    <w:rsid w:val="006B7F18"/>
    <w:rsid w:val="006C022F"/>
    <w:rsid w:val="006C1EDB"/>
    <w:rsid w:val="006C2AE9"/>
    <w:rsid w:val="006C3B8C"/>
    <w:rsid w:val="006C582C"/>
    <w:rsid w:val="006C71D7"/>
    <w:rsid w:val="006D0DEF"/>
    <w:rsid w:val="006D1469"/>
    <w:rsid w:val="006D22F6"/>
    <w:rsid w:val="006D2F9E"/>
    <w:rsid w:val="006D32F4"/>
    <w:rsid w:val="006D44D0"/>
    <w:rsid w:val="006D4D28"/>
    <w:rsid w:val="006D5E70"/>
    <w:rsid w:val="006D6465"/>
    <w:rsid w:val="006D6C27"/>
    <w:rsid w:val="006D6CA9"/>
    <w:rsid w:val="006D6FCD"/>
    <w:rsid w:val="006D78C0"/>
    <w:rsid w:val="006D7D1A"/>
    <w:rsid w:val="006E008A"/>
    <w:rsid w:val="006E0A70"/>
    <w:rsid w:val="006E0CD5"/>
    <w:rsid w:val="006E1F44"/>
    <w:rsid w:val="006E272D"/>
    <w:rsid w:val="006E2A4F"/>
    <w:rsid w:val="006E3214"/>
    <w:rsid w:val="006E347B"/>
    <w:rsid w:val="006E5F7E"/>
    <w:rsid w:val="006E6B1C"/>
    <w:rsid w:val="006E76ED"/>
    <w:rsid w:val="006F05B8"/>
    <w:rsid w:val="006F27CA"/>
    <w:rsid w:val="006F2ECF"/>
    <w:rsid w:val="006F3467"/>
    <w:rsid w:val="006F357B"/>
    <w:rsid w:val="006F3A62"/>
    <w:rsid w:val="006F53F7"/>
    <w:rsid w:val="006F5EBA"/>
    <w:rsid w:val="006F612B"/>
    <w:rsid w:val="006F65A1"/>
    <w:rsid w:val="006F7216"/>
    <w:rsid w:val="006F7C77"/>
    <w:rsid w:val="00700D07"/>
    <w:rsid w:val="00701974"/>
    <w:rsid w:val="00701BA2"/>
    <w:rsid w:val="00702AB2"/>
    <w:rsid w:val="00704E9C"/>
    <w:rsid w:val="00705A8A"/>
    <w:rsid w:val="0070648A"/>
    <w:rsid w:val="0070709C"/>
    <w:rsid w:val="00710109"/>
    <w:rsid w:val="007101D5"/>
    <w:rsid w:val="0071065D"/>
    <w:rsid w:val="007116C7"/>
    <w:rsid w:val="00712BC5"/>
    <w:rsid w:val="00712F55"/>
    <w:rsid w:val="007130FE"/>
    <w:rsid w:val="007150F0"/>
    <w:rsid w:val="00715668"/>
    <w:rsid w:val="0071633E"/>
    <w:rsid w:val="00716B39"/>
    <w:rsid w:val="00716B4F"/>
    <w:rsid w:val="00717FB1"/>
    <w:rsid w:val="007213AC"/>
    <w:rsid w:val="00721B28"/>
    <w:rsid w:val="0072287B"/>
    <w:rsid w:val="00722940"/>
    <w:rsid w:val="007242E5"/>
    <w:rsid w:val="00724F23"/>
    <w:rsid w:val="007255DB"/>
    <w:rsid w:val="00725D14"/>
    <w:rsid w:val="00725D86"/>
    <w:rsid w:val="00725F2E"/>
    <w:rsid w:val="00726205"/>
    <w:rsid w:val="007266C7"/>
    <w:rsid w:val="00726AE5"/>
    <w:rsid w:val="00726C2D"/>
    <w:rsid w:val="00726EB5"/>
    <w:rsid w:val="00727232"/>
    <w:rsid w:val="00727352"/>
    <w:rsid w:val="00730252"/>
    <w:rsid w:val="007304D4"/>
    <w:rsid w:val="00731D7E"/>
    <w:rsid w:val="00734259"/>
    <w:rsid w:val="00735414"/>
    <w:rsid w:val="007376FE"/>
    <w:rsid w:val="00737B5B"/>
    <w:rsid w:val="0074156E"/>
    <w:rsid w:val="0074186F"/>
    <w:rsid w:val="00743CD9"/>
    <w:rsid w:val="00744D2E"/>
    <w:rsid w:val="007450B9"/>
    <w:rsid w:val="00746E11"/>
    <w:rsid w:val="00751FC8"/>
    <w:rsid w:val="007542AC"/>
    <w:rsid w:val="0075470F"/>
    <w:rsid w:val="0075479E"/>
    <w:rsid w:val="007547D7"/>
    <w:rsid w:val="00754A1F"/>
    <w:rsid w:val="00754A9D"/>
    <w:rsid w:val="00754AD8"/>
    <w:rsid w:val="00755121"/>
    <w:rsid w:val="007552EF"/>
    <w:rsid w:val="0075539A"/>
    <w:rsid w:val="00756B52"/>
    <w:rsid w:val="00757206"/>
    <w:rsid w:val="00757D48"/>
    <w:rsid w:val="00760A5B"/>
    <w:rsid w:val="00762A5D"/>
    <w:rsid w:val="007634D3"/>
    <w:rsid w:val="00765949"/>
    <w:rsid w:val="007659A3"/>
    <w:rsid w:val="00765BA1"/>
    <w:rsid w:val="00765D1F"/>
    <w:rsid w:val="00765DB4"/>
    <w:rsid w:val="00766758"/>
    <w:rsid w:val="00767382"/>
    <w:rsid w:val="00767685"/>
    <w:rsid w:val="00767F6E"/>
    <w:rsid w:val="00770032"/>
    <w:rsid w:val="007700F8"/>
    <w:rsid w:val="00771264"/>
    <w:rsid w:val="007727E2"/>
    <w:rsid w:val="00772F3F"/>
    <w:rsid w:val="007735FC"/>
    <w:rsid w:val="00773726"/>
    <w:rsid w:val="00774FCC"/>
    <w:rsid w:val="007760F6"/>
    <w:rsid w:val="00776ADE"/>
    <w:rsid w:val="00776D33"/>
    <w:rsid w:val="007778D4"/>
    <w:rsid w:val="007779F9"/>
    <w:rsid w:val="00777A15"/>
    <w:rsid w:val="00777CE1"/>
    <w:rsid w:val="00780F43"/>
    <w:rsid w:val="0078230B"/>
    <w:rsid w:val="0078258F"/>
    <w:rsid w:val="00783D1F"/>
    <w:rsid w:val="0078415A"/>
    <w:rsid w:val="00784C9C"/>
    <w:rsid w:val="00785738"/>
    <w:rsid w:val="00787061"/>
    <w:rsid w:val="007906E5"/>
    <w:rsid w:val="00790D8B"/>
    <w:rsid w:val="007912E5"/>
    <w:rsid w:val="00791A36"/>
    <w:rsid w:val="00792839"/>
    <w:rsid w:val="00792D8F"/>
    <w:rsid w:val="00793635"/>
    <w:rsid w:val="007936F7"/>
    <w:rsid w:val="00794A35"/>
    <w:rsid w:val="00794C43"/>
    <w:rsid w:val="0079647E"/>
    <w:rsid w:val="007968DB"/>
    <w:rsid w:val="007A25B0"/>
    <w:rsid w:val="007A331F"/>
    <w:rsid w:val="007A3E0F"/>
    <w:rsid w:val="007A42BF"/>
    <w:rsid w:val="007A5AC9"/>
    <w:rsid w:val="007A5F60"/>
    <w:rsid w:val="007A6026"/>
    <w:rsid w:val="007A645A"/>
    <w:rsid w:val="007A7CDC"/>
    <w:rsid w:val="007B1758"/>
    <w:rsid w:val="007B1E5F"/>
    <w:rsid w:val="007B21A0"/>
    <w:rsid w:val="007B22B1"/>
    <w:rsid w:val="007B2470"/>
    <w:rsid w:val="007B2B44"/>
    <w:rsid w:val="007B331A"/>
    <w:rsid w:val="007B346B"/>
    <w:rsid w:val="007B4361"/>
    <w:rsid w:val="007B4517"/>
    <w:rsid w:val="007B690D"/>
    <w:rsid w:val="007B7564"/>
    <w:rsid w:val="007C11DE"/>
    <w:rsid w:val="007C1C8E"/>
    <w:rsid w:val="007C29B0"/>
    <w:rsid w:val="007C7B22"/>
    <w:rsid w:val="007D070A"/>
    <w:rsid w:val="007D47B5"/>
    <w:rsid w:val="007D4D7D"/>
    <w:rsid w:val="007D5DFB"/>
    <w:rsid w:val="007D5FE8"/>
    <w:rsid w:val="007D6979"/>
    <w:rsid w:val="007D722C"/>
    <w:rsid w:val="007D7AE5"/>
    <w:rsid w:val="007E0CA3"/>
    <w:rsid w:val="007E229D"/>
    <w:rsid w:val="007E29C9"/>
    <w:rsid w:val="007E2D52"/>
    <w:rsid w:val="007E64BB"/>
    <w:rsid w:val="007E7C99"/>
    <w:rsid w:val="007F00F3"/>
    <w:rsid w:val="007F0C72"/>
    <w:rsid w:val="007F0D41"/>
    <w:rsid w:val="007F2556"/>
    <w:rsid w:val="007F2FF7"/>
    <w:rsid w:val="007F3AE5"/>
    <w:rsid w:val="007F3F90"/>
    <w:rsid w:val="007F44B6"/>
    <w:rsid w:val="007F5928"/>
    <w:rsid w:val="007F5C00"/>
    <w:rsid w:val="007F61AF"/>
    <w:rsid w:val="007F63C4"/>
    <w:rsid w:val="00800F89"/>
    <w:rsid w:val="00801CE3"/>
    <w:rsid w:val="008021FE"/>
    <w:rsid w:val="0080379E"/>
    <w:rsid w:val="00805C3F"/>
    <w:rsid w:val="00805EF7"/>
    <w:rsid w:val="00807369"/>
    <w:rsid w:val="00810334"/>
    <w:rsid w:val="00810C47"/>
    <w:rsid w:val="00811490"/>
    <w:rsid w:val="008124A6"/>
    <w:rsid w:val="008133D8"/>
    <w:rsid w:val="0081385E"/>
    <w:rsid w:val="00814823"/>
    <w:rsid w:val="00814945"/>
    <w:rsid w:val="008154AD"/>
    <w:rsid w:val="008159CD"/>
    <w:rsid w:val="00816704"/>
    <w:rsid w:val="0081770E"/>
    <w:rsid w:val="008179EA"/>
    <w:rsid w:val="00820107"/>
    <w:rsid w:val="008217CB"/>
    <w:rsid w:val="008224D7"/>
    <w:rsid w:val="00823A3B"/>
    <w:rsid w:val="00824046"/>
    <w:rsid w:val="00825DDF"/>
    <w:rsid w:val="008275AA"/>
    <w:rsid w:val="00827AE2"/>
    <w:rsid w:val="00827B3A"/>
    <w:rsid w:val="008305C6"/>
    <w:rsid w:val="00830F92"/>
    <w:rsid w:val="008343AB"/>
    <w:rsid w:val="008351E7"/>
    <w:rsid w:val="0083580B"/>
    <w:rsid w:val="00840D2C"/>
    <w:rsid w:val="0084329F"/>
    <w:rsid w:val="008440A0"/>
    <w:rsid w:val="008445DA"/>
    <w:rsid w:val="0084514F"/>
    <w:rsid w:val="00847A81"/>
    <w:rsid w:val="00847E51"/>
    <w:rsid w:val="00851008"/>
    <w:rsid w:val="00851B01"/>
    <w:rsid w:val="008522EC"/>
    <w:rsid w:val="008527C0"/>
    <w:rsid w:val="00853A0C"/>
    <w:rsid w:val="00854855"/>
    <w:rsid w:val="00857724"/>
    <w:rsid w:val="00860FEB"/>
    <w:rsid w:val="008610B8"/>
    <w:rsid w:val="008622D7"/>
    <w:rsid w:val="00862632"/>
    <w:rsid w:val="0086386D"/>
    <w:rsid w:val="00863F6F"/>
    <w:rsid w:val="00864AF9"/>
    <w:rsid w:val="00866A18"/>
    <w:rsid w:val="00867D29"/>
    <w:rsid w:val="00870C40"/>
    <w:rsid w:val="00870EED"/>
    <w:rsid w:val="008713AD"/>
    <w:rsid w:val="0087195E"/>
    <w:rsid w:val="00872B1D"/>
    <w:rsid w:val="00874401"/>
    <w:rsid w:val="00874E5B"/>
    <w:rsid w:val="00875769"/>
    <w:rsid w:val="00875D05"/>
    <w:rsid w:val="00876AE2"/>
    <w:rsid w:val="008805EF"/>
    <w:rsid w:val="008829CC"/>
    <w:rsid w:val="0088362C"/>
    <w:rsid w:val="00883C84"/>
    <w:rsid w:val="00883E20"/>
    <w:rsid w:val="00884A9D"/>
    <w:rsid w:val="008858C0"/>
    <w:rsid w:val="00885921"/>
    <w:rsid w:val="00885BD7"/>
    <w:rsid w:val="00885E1A"/>
    <w:rsid w:val="00890190"/>
    <w:rsid w:val="008908BE"/>
    <w:rsid w:val="00891C00"/>
    <w:rsid w:val="00891E37"/>
    <w:rsid w:val="0089211F"/>
    <w:rsid w:val="00892724"/>
    <w:rsid w:val="00892BDD"/>
    <w:rsid w:val="00892C0E"/>
    <w:rsid w:val="008933B0"/>
    <w:rsid w:val="00893C3E"/>
    <w:rsid w:val="008942F8"/>
    <w:rsid w:val="0089643F"/>
    <w:rsid w:val="00896E61"/>
    <w:rsid w:val="0089723B"/>
    <w:rsid w:val="00897B19"/>
    <w:rsid w:val="008A07D9"/>
    <w:rsid w:val="008A150E"/>
    <w:rsid w:val="008A16FE"/>
    <w:rsid w:val="008A2042"/>
    <w:rsid w:val="008A25A7"/>
    <w:rsid w:val="008A2861"/>
    <w:rsid w:val="008A2AC7"/>
    <w:rsid w:val="008A2C52"/>
    <w:rsid w:val="008A575B"/>
    <w:rsid w:val="008A699D"/>
    <w:rsid w:val="008B0D51"/>
    <w:rsid w:val="008B0DFB"/>
    <w:rsid w:val="008B29CC"/>
    <w:rsid w:val="008B2D3C"/>
    <w:rsid w:val="008B3672"/>
    <w:rsid w:val="008B38A3"/>
    <w:rsid w:val="008B3FC4"/>
    <w:rsid w:val="008B4D77"/>
    <w:rsid w:val="008B746B"/>
    <w:rsid w:val="008B7A75"/>
    <w:rsid w:val="008C01A1"/>
    <w:rsid w:val="008C044C"/>
    <w:rsid w:val="008C0DF3"/>
    <w:rsid w:val="008C1A9E"/>
    <w:rsid w:val="008C1D93"/>
    <w:rsid w:val="008C222E"/>
    <w:rsid w:val="008C2FD5"/>
    <w:rsid w:val="008C360A"/>
    <w:rsid w:val="008C3B80"/>
    <w:rsid w:val="008C44DD"/>
    <w:rsid w:val="008C5165"/>
    <w:rsid w:val="008C6D80"/>
    <w:rsid w:val="008D113D"/>
    <w:rsid w:val="008D13B9"/>
    <w:rsid w:val="008D26DC"/>
    <w:rsid w:val="008D2A38"/>
    <w:rsid w:val="008D2BC4"/>
    <w:rsid w:val="008D3226"/>
    <w:rsid w:val="008D4624"/>
    <w:rsid w:val="008D471D"/>
    <w:rsid w:val="008D4E00"/>
    <w:rsid w:val="008D6A5D"/>
    <w:rsid w:val="008D7E2F"/>
    <w:rsid w:val="008E01CD"/>
    <w:rsid w:val="008E0C94"/>
    <w:rsid w:val="008E1372"/>
    <w:rsid w:val="008E334E"/>
    <w:rsid w:val="008E4AC2"/>
    <w:rsid w:val="008E6B22"/>
    <w:rsid w:val="008E6C10"/>
    <w:rsid w:val="008E6C9E"/>
    <w:rsid w:val="008F0897"/>
    <w:rsid w:val="008F0D23"/>
    <w:rsid w:val="008F1569"/>
    <w:rsid w:val="008F188B"/>
    <w:rsid w:val="008F1B35"/>
    <w:rsid w:val="008F1DF8"/>
    <w:rsid w:val="008F302A"/>
    <w:rsid w:val="008F35FB"/>
    <w:rsid w:val="008F6787"/>
    <w:rsid w:val="009000D1"/>
    <w:rsid w:val="0090223B"/>
    <w:rsid w:val="00902F39"/>
    <w:rsid w:val="00903249"/>
    <w:rsid w:val="009033AC"/>
    <w:rsid w:val="00903595"/>
    <w:rsid w:val="00903D72"/>
    <w:rsid w:val="00903FB2"/>
    <w:rsid w:val="0090438E"/>
    <w:rsid w:val="00904C32"/>
    <w:rsid w:val="00905A07"/>
    <w:rsid w:val="009062D0"/>
    <w:rsid w:val="00906E7A"/>
    <w:rsid w:val="00907012"/>
    <w:rsid w:val="00907FF2"/>
    <w:rsid w:val="00911CA2"/>
    <w:rsid w:val="00912575"/>
    <w:rsid w:val="00912D54"/>
    <w:rsid w:val="009145C3"/>
    <w:rsid w:val="00914802"/>
    <w:rsid w:val="009158CD"/>
    <w:rsid w:val="00915C91"/>
    <w:rsid w:val="0091701E"/>
    <w:rsid w:val="00917101"/>
    <w:rsid w:val="009177FA"/>
    <w:rsid w:val="0092018F"/>
    <w:rsid w:val="00920A18"/>
    <w:rsid w:val="00920F55"/>
    <w:rsid w:val="00921067"/>
    <w:rsid w:val="0092289E"/>
    <w:rsid w:val="00924DB3"/>
    <w:rsid w:val="00924ECB"/>
    <w:rsid w:val="0092580C"/>
    <w:rsid w:val="0092598A"/>
    <w:rsid w:val="00926A11"/>
    <w:rsid w:val="00926B48"/>
    <w:rsid w:val="00927BE6"/>
    <w:rsid w:val="00927C64"/>
    <w:rsid w:val="00931192"/>
    <w:rsid w:val="009311A9"/>
    <w:rsid w:val="00931C64"/>
    <w:rsid w:val="009321BF"/>
    <w:rsid w:val="009328A6"/>
    <w:rsid w:val="00932AD9"/>
    <w:rsid w:val="00934351"/>
    <w:rsid w:val="00935AA6"/>
    <w:rsid w:val="00936D67"/>
    <w:rsid w:val="0093721E"/>
    <w:rsid w:val="009400C6"/>
    <w:rsid w:val="00940311"/>
    <w:rsid w:val="00942FE0"/>
    <w:rsid w:val="00943B0E"/>
    <w:rsid w:val="009441A6"/>
    <w:rsid w:val="009441FF"/>
    <w:rsid w:val="00944DCB"/>
    <w:rsid w:val="00945DD3"/>
    <w:rsid w:val="00946990"/>
    <w:rsid w:val="00947DC2"/>
    <w:rsid w:val="00947EAF"/>
    <w:rsid w:val="00947FA9"/>
    <w:rsid w:val="00950C7C"/>
    <w:rsid w:val="00950E92"/>
    <w:rsid w:val="00950FB7"/>
    <w:rsid w:val="00951AD4"/>
    <w:rsid w:val="00952658"/>
    <w:rsid w:val="00954259"/>
    <w:rsid w:val="0095472C"/>
    <w:rsid w:val="00954BC2"/>
    <w:rsid w:val="009562B1"/>
    <w:rsid w:val="00956347"/>
    <w:rsid w:val="00956802"/>
    <w:rsid w:val="00956FA0"/>
    <w:rsid w:val="0096176C"/>
    <w:rsid w:val="00961EFC"/>
    <w:rsid w:val="00961F8F"/>
    <w:rsid w:val="00962E7E"/>
    <w:rsid w:val="00963BAA"/>
    <w:rsid w:val="00963DFE"/>
    <w:rsid w:val="009647EF"/>
    <w:rsid w:val="00965F3F"/>
    <w:rsid w:val="00966B68"/>
    <w:rsid w:val="009707E1"/>
    <w:rsid w:val="00971A23"/>
    <w:rsid w:val="00971ABD"/>
    <w:rsid w:val="009759A2"/>
    <w:rsid w:val="00977916"/>
    <w:rsid w:val="00977F22"/>
    <w:rsid w:val="009806DC"/>
    <w:rsid w:val="00980728"/>
    <w:rsid w:val="009838E6"/>
    <w:rsid w:val="0098419D"/>
    <w:rsid w:val="009850D6"/>
    <w:rsid w:val="00987936"/>
    <w:rsid w:val="0099105A"/>
    <w:rsid w:val="00991846"/>
    <w:rsid w:val="00992CDB"/>
    <w:rsid w:val="0099345D"/>
    <w:rsid w:val="0099369F"/>
    <w:rsid w:val="00993D5E"/>
    <w:rsid w:val="00995F3F"/>
    <w:rsid w:val="00996028"/>
    <w:rsid w:val="00996314"/>
    <w:rsid w:val="00996B63"/>
    <w:rsid w:val="00997C09"/>
    <w:rsid w:val="009A04F3"/>
    <w:rsid w:val="009A0C37"/>
    <w:rsid w:val="009A0CB3"/>
    <w:rsid w:val="009A179F"/>
    <w:rsid w:val="009A356A"/>
    <w:rsid w:val="009A5C0F"/>
    <w:rsid w:val="009A5C39"/>
    <w:rsid w:val="009A6405"/>
    <w:rsid w:val="009A71F1"/>
    <w:rsid w:val="009A7D97"/>
    <w:rsid w:val="009B0A4D"/>
    <w:rsid w:val="009B0C2F"/>
    <w:rsid w:val="009B1B5F"/>
    <w:rsid w:val="009B2127"/>
    <w:rsid w:val="009B3469"/>
    <w:rsid w:val="009B4F0E"/>
    <w:rsid w:val="009B67EE"/>
    <w:rsid w:val="009C0F7D"/>
    <w:rsid w:val="009C1D08"/>
    <w:rsid w:val="009C1E21"/>
    <w:rsid w:val="009C1FAD"/>
    <w:rsid w:val="009C285E"/>
    <w:rsid w:val="009C2C5E"/>
    <w:rsid w:val="009C304B"/>
    <w:rsid w:val="009C3C92"/>
    <w:rsid w:val="009C408A"/>
    <w:rsid w:val="009C5314"/>
    <w:rsid w:val="009D197B"/>
    <w:rsid w:val="009D1CEE"/>
    <w:rsid w:val="009D4312"/>
    <w:rsid w:val="009D4DC7"/>
    <w:rsid w:val="009D6E40"/>
    <w:rsid w:val="009E0ED0"/>
    <w:rsid w:val="009E116A"/>
    <w:rsid w:val="009E286D"/>
    <w:rsid w:val="009E2D96"/>
    <w:rsid w:val="009E2DD0"/>
    <w:rsid w:val="009E3448"/>
    <w:rsid w:val="009E3A5B"/>
    <w:rsid w:val="009E3C61"/>
    <w:rsid w:val="009E4B65"/>
    <w:rsid w:val="009E4C62"/>
    <w:rsid w:val="009E5D5B"/>
    <w:rsid w:val="009E5D9C"/>
    <w:rsid w:val="009E657F"/>
    <w:rsid w:val="009E6656"/>
    <w:rsid w:val="009E72E7"/>
    <w:rsid w:val="009E79AA"/>
    <w:rsid w:val="009F0459"/>
    <w:rsid w:val="009F0BDE"/>
    <w:rsid w:val="009F10D2"/>
    <w:rsid w:val="009F1B66"/>
    <w:rsid w:val="009F1EF8"/>
    <w:rsid w:val="009F3BD4"/>
    <w:rsid w:val="009F3E53"/>
    <w:rsid w:val="009F405D"/>
    <w:rsid w:val="009F4E35"/>
    <w:rsid w:val="009F574C"/>
    <w:rsid w:val="009F5C2B"/>
    <w:rsid w:val="009F5C35"/>
    <w:rsid w:val="009F67B9"/>
    <w:rsid w:val="009F7545"/>
    <w:rsid w:val="009F771B"/>
    <w:rsid w:val="009F779D"/>
    <w:rsid w:val="009F7E82"/>
    <w:rsid w:val="009F7F17"/>
    <w:rsid w:val="00A02365"/>
    <w:rsid w:val="00A02411"/>
    <w:rsid w:val="00A02553"/>
    <w:rsid w:val="00A02646"/>
    <w:rsid w:val="00A055F1"/>
    <w:rsid w:val="00A05E7F"/>
    <w:rsid w:val="00A069E8"/>
    <w:rsid w:val="00A06AA0"/>
    <w:rsid w:val="00A06CFC"/>
    <w:rsid w:val="00A06E80"/>
    <w:rsid w:val="00A070CE"/>
    <w:rsid w:val="00A10885"/>
    <w:rsid w:val="00A1304D"/>
    <w:rsid w:val="00A14CE6"/>
    <w:rsid w:val="00A15510"/>
    <w:rsid w:val="00A1589B"/>
    <w:rsid w:val="00A20826"/>
    <w:rsid w:val="00A21BC7"/>
    <w:rsid w:val="00A23A9B"/>
    <w:rsid w:val="00A23B33"/>
    <w:rsid w:val="00A24A0F"/>
    <w:rsid w:val="00A251AD"/>
    <w:rsid w:val="00A2539C"/>
    <w:rsid w:val="00A26CCB"/>
    <w:rsid w:val="00A26F49"/>
    <w:rsid w:val="00A30E6A"/>
    <w:rsid w:val="00A31D19"/>
    <w:rsid w:val="00A32431"/>
    <w:rsid w:val="00A32B8E"/>
    <w:rsid w:val="00A33631"/>
    <w:rsid w:val="00A33BB8"/>
    <w:rsid w:val="00A34BFB"/>
    <w:rsid w:val="00A356AF"/>
    <w:rsid w:val="00A368E8"/>
    <w:rsid w:val="00A40103"/>
    <w:rsid w:val="00A42437"/>
    <w:rsid w:val="00A44313"/>
    <w:rsid w:val="00A445F9"/>
    <w:rsid w:val="00A44F8E"/>
    <w:rsid w:val="00A45A41"/>
    <w:rsid w:val="00A4723C"/>
    <w:rsid w:val="00A47B18"/>
    <w:rsid w:val="00A50060"/>
    <w:rsid w:val="00A50913"/>
    <w:rsid w:val="00A51241"/>
    <w:rsid w:val="00A51804"/>
    <w:rsid w:val="00A52300"/>
    <w:rsid w:val="00A53388"/>
    <w:rsid w:val="00A534FB"/>
    <w:rsid w:val="00A53B6C"/>
    <w:rsid w:val="00A53BC0"/>
    <w:rsid w:val="00A54641"/>
    <w:rsid w:val="00A54C00"/>
    <w:rsid w:val="00A54E1C"/>
    <w:rsid w:val="00A55D9C"/>
    <w:rsid w:val="00A5656A"/>
    <w:rsid w:val="00A56FA3"/>
    <w:rsid w:val="00A56FB7"/>
    <w:rsid w:val="00A57D56"/>
    <w:rsid w:val="00A62032"/>
    <w:rsid w:val="00A630C2"/>
    <w:rsid w:val="00A6376D"/>
    <w:rsid w:val="00A638BB"/>
    <w:rsid w:val="00A64307"/>
    <w:rsid w:val="00A64B88"/>
    <w:rsid w:val="00A65C90"/>
    <w:rsid w:val="00A65E6D"/>
    <w:rsid w:val="00A65F0E"/>
    <w:rsid w:val="00A66333"/>
    <w:rsid w:val="00A66886"/>
    <w:rsid w:val="00A66E19"/>
    <w:rsid w:val="00A67383"/>
    <w:rsid w:val="00A7088E"/>
    <w:rsid w:val="00A70F0E"/>
    <w:rsid w:val="00A71020"/>
    <w:rsid w:val="00A71C67"/>
    <w:rsid w:val="00A73AFD"/>
    <w:rsid w:val="00A76229"/>
    <w:rsid w:val="00A7736B"/>
    <w:rsid w:val="00A773DA"/>
    <w:rsid w:val="00A77802"/>
    <w:rsid w:val="00A806F7"/>
    <w:rsid w:val="00A8176B"/>
    <w:rsid w:val="00A82C8A"/>
    <w:rsid w:val="00A846DE"/>
    <w:rsid w:val="00A8658A"/>
    <w:rsid w:val="00A87904"/>
    <w:rsid w:val="00A90CBC"/>
    <w:rsid w:val="00A91670"/>
    <w:rsid w:val="00A91E42"/>
    <w:rsid w:val="00A92773"/>
    <w:rsid w:val="00A931E7"/>
    <w:rsid w:val="00A93733"/>
    <w:rsid w:val="00A95647"/>
    <w:rsid w:val="00A96022"/>
    <w:rsid w:val="00A972EA"/>
    <w:rsid w:val="00AA169E"/>
    <w:rsid w:val="00AA1C67"/>
    <w:rsid w:val="00AA22F0"/>
    <w:rsid w:val="00AA23B4"/>
    <w:rsid w:val="00AA320A"/>
    <w:rsid w:val="00AA32BF"/>
    <w:rsid w:val="00AA55BA"/>
    <w:rsid w:val="00AB04BC"/>
    <w:rsid w:val="00AB06E0"/>
    <w:rsid w:val="00AB1DF0"/>
    <w:rsid w:val="00AB20B9"/>
    <w:rsid w:val="00AB2E3E"/>
    <w:rsid w:val="00AB41F8"/>
    <w:rsid w:val="00AB43DB"/>
    <w:rsid w:val="00AB4C90"/>
    <w:rsid w:val="00AB5008"/>
    <w:rsid w:val="00AB5906"/>
    <w:rsid w:val="00AB59D0"/>
    <w:rsid w:val="00AB6546"/>
    <w:rsid w:val="00AB65D8"/>
    <w:rsid w:val="00AB6B78"/>
    <w:rsid w:val="00AB7627"/>
    <w:rsid w:val="00AC0199"/>
    <w:rsid w:val="00AC056E"/>
    <w:rsid w:val="00AC067C"/>
    <w:rsid w:val="00AC0D9D"/>
    <w:rsid w:val="00AC1154"/>
    <w:rsid w:val="00AC1D40"/>
    <w:rsid w:val="00AC544F"/>
    <w:rsid w:val="00AC5C4A"/>
    <w:rsid w:val="00AC6D18"/>
    <w:rsid w:val="00AC721D"/>
    <w:rsid w:val="00AD0307"/>
    <w:rsid w:val="00AD0632"/>
    <w:rsid w:val="00AD080B"/>
    <w:rsid w:val="00AD14BA"/>
    <w:rsid w:val="00AD181D"/>
    <w:rsid w:val="00AD1EF2"/>
    <w:rsid w:val="00AD27DB"/>
    <w:rsid w:val="00AD33F9"/>
    <w:rsid w:val="00AD413D"/>
    <w:rsid w:val="00AD4209"/>
    <w:rsid w:val="00AD560C"/>
    <w:rsid w:val="00AD5CAF"/>
    <w:rsid w:val="00AD7EE7"/>
    <w:rsid w:val="00AE1417"/>
    <w:rsid w:val="00AE191B"/>
    <w:rsid w:val="00AE1EE1"/>
    <w:rsid w:val="00AE26C7"/>
    <w:rsid w:val="00AE3127"/>
    <w:rsid w:val="00AE479B"/>
    <w:rsid w:val="00AE593C"/>
    <w:rsid w:val="00AE7B0F"/>
    <w:rsid w:val="00AF1AF7"/>
    <w:rsid w:val="00AF215E"/>
    <w:rsid w:val="00AF2CA5"/>
    <w:rsid w:val="00AF3633"/>
    <w:rsid w:val="00AF3D86"/>
    <w:rsid w:val="00AF4297"/>
    <w:rsid w:val="00AF44A2"/>
    <w:rsid w:val="00AF51CB"/>
    <w:rsid w:val="00AF57C3"/>
    <w:rsid w:val="00AF5BD1"/>
    <w:rsid w:val="00AF690C"/>
    <w:rsid w:val="00AF7492"/>
    <w:rsid w:val="00B003FC"/>
    <w:rsid w:val="00B00CAA"/>
    <w:rsid w:val="00B02481"/>
    <w:rsid w:val="00B0481B"/>
    <w:rsid w:val="00B05FFA"/>
    <w:rsid w:val="00B0618D"/>
    <w:rsid w:val="00B075F8"/>
    <w:rsid w:val="00B108EC"/>
    <w:rsid w:val="00B11419"/>
    <w:rsid w:val="00B11473"/>
    <w:rsid w:val="00B123E6"/>
    <w:rsid w:val="00B12E4E"/>
    <w:rsid w:val="00B13366"/>
    <w:rsid w:val="00B14511"/>
    <w:rsid w:val="00B14C1F"/>
    <w:rsid w:val="00B1675A"/>
    <w:rsid w:val="00B167AF"/>
    <w:rsid w:val="00B2038B"/>
    <w:rsid w:val="00B254F0"/>
    <w:rsid w:val="00B25734"/>
    <w:rsid w:val="00B271BD"/>
    <w:rsid w:val="00B2733C"/>
    <w:rsid w:val="00B27407"/>
    <w:rsid w:val="00B276C8"/>
    <w:rsid w:val="00B27DC6"/>
    <w:rsid w:val="00B27DE9"/>
    <w:rsid w:val="00B30346"/>
    <w:rsid w:val="00B3136A"/>
    <w:rsid w:val="00B31855"/>
    <w:rsid w:val="00B324F8"/>
    <w:rsid w:val="00B325CB"/>
    <w:rsid w:val="00B329A2"/>
    <w:rsid w:val="00B33550"/>
    <w:rsid w:val="00B34173"/>
    <w:rsid w:val="00B36082"/>
    <w:rsid w:val="00B36216"/>
    <w:rsid w:val="00B36849"/>
    <w:rsid w:val="00B374F2"/>
    <w:rsid w:val="00B40CC1"/>
    <w:rsid w:val="00B4122C"/>
    <w:rsid w:val="00B42378"/>
    <w:rsid w:val="00B44135"/>
    <w:rsid w:val="00B458C0"/>
    <w:rsid w:val="00B503AA"/>
    <w:rsid w:val="00B545F8"/>
    <w:rsid w:val="00B5521A"/>
    <w:rsid w:val="00B553A6"/>
    <w:rsid w:val="00B562DD"/>
    <w:rsid w:val="00B5689E"/>
    <w:rsid w:val="00B56E08"/>
    <w:rsid w:val="00B57745"/>
    <w:rsid w:val="00B57942"/>
    <w:rsid w:val="00B600EB"/>
    <w:rsid w:val="00B6136F"/>
    <w:rsid w:val="00B61F96"/>
    <w:rsid w:val="00B62E37"/>
    <w:rsid w:val="00B63D2D"/>
    <w:rsid w:val="00B6597C"/>
    <w:rsid w:val="00B66A58"/>
    <w:rsid w:val="00B708DD"/>
    <w:rsid w:val="00B70DDD"/>
    <w:rsid w:val="00B70F90"/>
    <w:rsid w:val="00B7159B"/>
    <w:rsid w:val="00B726D2"/>
    <w:rsid w:val="00B72C80"/>
    <w:rsid w:val="00B74EC6"/>
    <w:rsid w:val="00B75067"/>
    <w:rsid w:val="00B750F2"/>
    <w:rsid w:val="00B7747C"/>
    <w:rsid w:val="00B77656"/>
    <w:rsid w:val="00B8118E"/>
    <w:rsid w:val="00B817D6"/>
    <w:rsid w:val="00B8188A"/>
    <w:rsid w:val="00B8217A"/>
    <w:rsid w:val="00B8285C"/>
    <w:rsid w:val="00B828A4"/>
    <w:rsid w:val="00B83019"/>
    <w:rsid w:val="00B83297"/>
    <w:rsid w:val="00B850CF"/>
    <w:rsid w:val="00B851B1"/>
    <w:rsid w:val="00B858F3"/>
    <w:rsid w:val="00B8682B"/>
    <w:rsid w:val="00B87751"/>
    <w:rsid w:val="00B915A1"/>
    <w:rsid w:val="00B91E13"/>
    <w:rsid w:val="00B9243E"/>
    <w:rsid w:val="00B92928"/>
    <w:rsid w:val="00B929F4"/>
    <w:rsid w:val="00B93283"/>
    <w:rsid w:val="00B93E04"/>
    <w:rsid w:val="00B96367"/>
    <w:rsid w:val="00B96AF8"/>
    <w:rsid w:val="00B96C74"/>
    <w:rsid w:val="00B978D1"/>
    <w:rsid w:val="00BA0537"/>
    <w:rsid w:val="00BA2037"/>
    <w:rsid w:val="00BA35C7"/>
    <w:rsid w:val="00BA4116"/>
    <w:rsid w:val="00BA41A1"/>
    <w:rsid w:val="00BA43A0"/>
    <w:rsid w:val="00BA4B2D"/>
    <w:rsid w:val="00BB0909"/>
    <w:rsid w:val="00BB18F2"/>
    <w:rsid w:val="00BB27D2"/>
    <w:rsid w:val="00BB287B"/>
    <w:rsid w:val="00BB2B58"/>
    <w:rsid w:val="00BB326C"/>
    <w:rsid w:val="00BB3B1F"/>
    <w:rsid w:val="00BB3DAD"/>
    <w:rsid w:val="00BB4B0E"/>
    <w:rsid w:val="00BB6D10"/>
    <w:rsid w:val="00BB7626"/>
    <w:rsid w:val="00BB7887"/>
    <w:rsid w:val="00BC13CF"/>
    <w:rsid w:val="00BC231F"/>
    <w:rsid w:val="00BC3557"/>
    <w:rsid w:val="00BC3E47"/>
    <w:rsid w:val="00BC4E2C"/>
    <w:rsid w:val="00BC6DF9"/>
    <w:rsid w:val="00BC7313"/>
    <w:rsid w:val="00BD19C7"/>
    <w:rsid w:val="00BD26B4"/>
    <w:rsid w:val="00BD2887"/>
    <w:rsid w:val="00BD2D2C"/>
    <w:rsid w:val="00BD3824"/>
    <w:rsid w:val="00BD3DE4"/>
    <w:rsid w:val="00BD6C3D"/>
    <w:rsid w:val="00BD6D0E"/>
    <w:rsid w:val="00BD7007"/>
    <w:rsid w:val="00BE08E6"/>
    <w:rsid w:val="00BE13FF"/>
    <w:rsid w:val="00BE28DB"/>
    <w:rsid w:val="00BE2D24"/>
    <w:rsid w:val="00BE4BB7"/>
    <w:rsid w:val="00BE5433"/>
    <w:rsid w:val="00BE579A"/>
    <w:rsid w:val="00BE7994"/>
    <w:rsid w:val="00BE7D9F"/>
    <w:rsid w:val="00BF2D38"/>
    <w:rsid w:val="00BF374B"/>
    <w:rsid w:val="00BF3E48"/>
    <w:rsid w:val="00BF4682"/>
    <w:rsid w:val="00BF4A99"/>
    <w:rsid w:val="00BF5E8C"/>
    <w:rsid w:val="00BF6A9F"/>
    <w:rsid w:val="00C03367"/>
    <w:rsid w:val="00C044C9"/>
    <w:rsid w:val="00C047A9"/>
    <w:rsid w:val="00C053F9"/>
    <w:rsid w:val="00C06C9C"/>
    <w:rsid w:val="00C078D8"/>
    <w:rsid w:val="00C101B0"/>
    <w:rsid w:val="00C139F5"/>
    <w:rsid w:val="00C13A7F"/>
    <w:rsid w:val="00C13A9F"/>
    <w:rsid w:val="00C141EE"/>
    <w:rsid w:val="00C143BF"/>
    <w:rsid w:val="00C1508F"/>
    <w:rsid w:val="00C15C09"/>
    <w:rsid w:val="00C16297"/>
    <w:rsid w:val="00C16A38"/>
    <w:rsid w:val="00C176E1"/>
    <w:rsid w:val="00C17CBE"/>
    <w:rsid w:val="00C20000"/>
    <w:rsid w:val="00C2030F"/>
    <w:rsid w:val="00C20A91"/>
    <w:rsid w:val="00C20D14"/>
    <w:rsid w:val="00C20F46"/>
    <w:rsid w:val="00C21DB9"/>
    <w:rsid w:val="00C223E7"/>
    <w:rsid w:val="00C22869"/>
    <w:rsid w:val="00C22ABC"/>
    <w:rsid w:val="00C2360C"/>
    <w:rsid w:val="00C2400F"/>
    <w:rsid w:val="00C26EE3"/>
    <w:rsid w:val="00C27A59"/>
    <w:rsid w:val="00C30278"/>
    <w:rsid w:val="00C32BFD"/>
    <w:rsid w:val="00C331C0"/>
    <w:rsid w:val="00C335D3"/>
    <w:rsid w:val="00C34A44"/>
    <w:rsid w:val="00C34BA0"/>
    <w:rsid w:val="00C353E9"/>
    <w:rsid w:val="00C35CCE"/>
    <w:rsid w:val="00C35EBF"/>
    <w:rsid w:val="00C36136"/>
    <w:rsid w:val="00C3679D"/>
    <w:rsid w:val="00C4014C"/>
    <w:rsid w:val="00C40553"/>
    <w:rsid w:val="00C40CC5"/>
    <w:rsid w:val="00C40F49"/>
    <w:rsid w:val="00C4104A"/>
    <w:rsid w:val="00C417AC"/>
    <w:rsid w:val="00C41956"/>
    <w:rsid w:val="00C4228D"/>
    <w:rsid w:val="00C42335"/>
    <w:rsid w:val="00C42858"/>
    <w:rsid w:val="00C441A3"/>
    <w:rsid w:val="00C453EB"/>
    <w:rsid w:val="00C45FF0"/>
    <w:rsid w:val="00C46988"/>
    <w:rsid w:val="00C4735C"/>
    <w:rsid w:val="00C47B22"/>
    <w:rsid w:val="00C502ED"/>
    <w:rsid w:val="00C50F7D"/>
    <w:rsid w:val="00C5130B"/>
    <w:rsid w:val="00C52F31"/>
    <w:rsid w:val="00C533BC"/>
    <w:rsid w:val="00C55CBA"/>
    <w:rsid w:val="00C5666B"/>
    <w:rsid w:val="00C56A6A"/>
    <w:rsid w:val="00C57AED"/>
    <w:rsid w:val="00C608A3"/>
    <w:rsid w:val="00C6142D"/>
    <w:rsid w:val="00C61A1E"/>
    <w:rsid w:val="00C6274A"/>
    <w:rsid w:val="00C62A7E"/>
    <w:rsid w:val="00C6317A"/>
    <w:rsid w:val="00C65208"/>
    <w:rsid w:val="00C65BBB"/>
    <w:rsid w:val="00C665F1"/>
    <w:rsid w:val="00C66CDF"/>
    <w:rsid w:val="00C6733B"/>
    <w:rsid w:val="00C67B07"/>
    <w:rsid w:val="00C70004"/>
    <w:rsid w:val="00C70704"/>
    <w:rsid w:val="00C70F1E"/>
    <w:rsid w:val="00C72A93"/>
    <w:rsid w:val="00C72F77"/>
    <w:rsid w:val="00C74F52"/>
    <w:rsid w:val="00C755FC"/>
    <w:rsid w:val="00C76D51"/>
    <w:rsid w:val="00C77356"/>
    <w:rsid w:val="00C7782D"/>
    <w:rsid w:val="00C80343"/>
    <w:rsid w:val="00C808F4"/>
    <w:rsid w:val="00C8152A"/>
    <w:rsid w:val="00C821C0"/>
    <w:rsid w:val="00C82BC8"/>
    <w:rsid w:val="00C82D34"/>
    <w:rsid w:val="00C830CF"/>
    <w:rsid w:val="00C8345B"/>
    <w:rsid w:val="00C84D75"/>
    <w:rsid w:val="00C856D3"/>
    <w:rsid w:val="00C85D96"/>
    <w:rsid w:val="00C91693"/>
    <w:rsid w:val="00C91B11"/>
    <w:rsid w:val="00C91DCE"/>
    <w:rsid w:val="00C92512"/>
    <w:rsid w:val="00C92F25"/>
    <w:rsid w:val="00C933EA"/>
    <w:rsid w:val="00C94A7B"/>
    <w:rsid w:val="00C94D85"/>
    <w:rsid w:val="00C95708"/>
    <w:rsid w:val="00C95F39"/>
    <w:rsid w:val="00C9634C"/>
    <w:rsid w:val="00C9722C"/>
    <w:rsid w:val="00C97359"/>
    <w:rsid w:val="00C97804"/>
    <w:rsid w:val="00C979F5"/>
    <w:rsid w:val="00CA11BB"/>
    <w:rsid w:val="00CA13C2"/>
    <w:rsid w:val="00CA2B5A"/>
    <w:rsid w:val="00CA31D5"/>
    <w:rsid w:val="00CA42D6"/>
    <w:rsid w:val="00CA491D"/>
    <w:rsid w:val="00CA4D52"/>
    <w:rsid w:val="00CA56D0"/>
    <w:rsid w:val="00CA7113"/>
    <w:rsid w:val="00CA7440"/>
    <w:rsid w:val="00CA7D13"/>
    <w:rsid w:val="00CB0028"/>
    <w:rsid w:val="00CB00DA"/>
    <w:rsid w:val="00CB0351"/>
    <w:rsid w:val="00CB08D6"/>
    <w:rsid w:val="00CB38E3"/>
    <w:rsid w:val="00CB3986"/>
    <w:rsid w:val="00CB3C46"/>
    <w:rsid w:val="00CB495C"/>
    <w:rsid w:val="00CB4EC5"/>
    <w:rsid w:val="00CB6A45"/>
    <w:rsid w:val="00CB70A6"/>
    <w:rsid w:val="00CB7D79"/>
    <w:rsid w:val="00CB7F30"/>
    <w:rsid w:val="00CC173A"/>
    <w:rsid w:val="00CC2F10"/>
    <w:rsid w:val="00CC3A44"/>
    <w:rsid w:val="00CC49CD"/>
    <w:rsid w:val="00CC4F22"/>
    <w:rsid w:val="00CC52BA"/>
    <w:rsid w:val="00CC5C08"/>
    <w:rsid w:val="00CD19F2"/>
    <w:rsid w:val="00CD215B"/>
    <w:rsid w:val="00CD2A5C"/>
    <w:rsid w:val="00CD3521"/>
    <w:rsid w:val="00CD49EC"/>
    <w:rsid w:val="00CD68E7"/>
    <w:rsid w:val="00CD7C28"/>
    <w:rsid w:val="00CE02CD"/>
    <w:rsid w:val="00CE0DDC"/>
    <w:rsid w:val="00CE1C10"/>
    <w:rsid w:val="00CE3420"/>
    <w:rsid w:val="00CE535F"/>
    <w:rsid w:val="00CE57F8"/>
    <w:rsid w:val="00CE7446"/>
    <w:rsid w:val="00CF3113"/>
    <w:rsid w:val="00CF3280"/>
    <w:rsid w:val="00CF3333"/>
    <w:rsid w:val="00CF3C59"/>
    <w:rsid w:val="00CF3E78"/>
    <w:rsid w:val="00CF42D1"/>
    <w:rsid w:val="00CF6826"/>
    <w:rsid w:val="00CF6BB2"/>
    <w:rsid w:val="00D00AD2"/>
    <w:rsid w:val="00D00EE4"/>
    <w:rsid w:val="00D0155F"/>
    <w:rsid w:val="00D01D34"/>
    <w:rsid w:val="00D02148"/>
    <w:rsid w:val="00D03193"/>
    <w:rsid w:val="00D034D1"/>
    <w:rsid w:val="00D042B2"/>
    <w:rsid w:val="00D05179"/>
    <w:rsid w:val="00D06B2B"/>
    <w:rsid w:val="00D06FF4"/>
    <w:rsid w:val="00D10B7E"/>
    <w:rsid w:val="00D11A18"/>
    <w:rsid w:val="00D12E48"/>
    <w:rsid w:val="00D12EF9"/>
    <w:rsid w:val="00D13B40"/>
    <w:rsid w:val="00D13FE8"/>
    <w:rsid w:val="00D15CFC"/>
    <w:rsid w:val="00D15D6E"/>
    <w:rsid w:val="00D16A53"/>
    <w:rsid w:val="00D16EE6"/>
    <w:rsid w:val="00D17774"/>
    <w:rsid w:val="00D20210"/>
    <w:rsid w:val="00D20533"/>
    <w:rsid w:val="00D20ED7"/>
    <w:rsid w:val="00D21386"/>
    <w:rsid w:val="00D213D7"/>
    <w:rsid w:val="00D21B74"/>
    <w:rsid w:val="00D2293F"/>
    <w:rsid w:val="00D245DE"/>
    <w:rsid w:val="00D25206"/>
    <w:rsid w:val="00D25270"/>
    <w:rsid w:val="00D25315"/>
    <w:rsid w:val="00D25BF2"/>
    <w:rsid w:val="00D260A3"/>
    <w:rsid w:val="00D3013D"/>
    <w:rsid w:val="00D307C7"/>
    <w:rsid w:val="00D31537"/>
    <w:rsid w:val="00D31BFF"/>
    <w:rsid w:val="00D32759"/>
    <w:rsid w:val="00D332DD"/>
    <w:rsid w:val="00D35297"/>
    <w:rsid w:val="00D35750"/>
    <w:rsid w:val="00D402CA"/>
    <w:rsid w:val="00D4096F"/>
    <w:rsid w:val="00D40DCA"/>
    <w:rsid w:val="00D41973"/>
    <w:rsid w:val="00D41C9A"/>
    <w:rsid w:val="00D42047"/>
    <w:rsid w:val="00D434A6"/>
    <w:rsid w:val="00D43517"/>
    <w:rsid w:val="00D44750"/>
    <w:rsid w:val="00D44F01"/>
    <w:rsid w:val="00D45F51"/>
    <w:rsid w:val="00D50381"/>
    <w:rsid w:val="00D51D47"/>
    <w:rsid w:val="00D5445D"/>
    <w:rsid w:val="00D54EE6"/>
    <w:rsid w:val="00D555D3"/>
    <w:rsid w:val="00D578B1"/>
    <w:rsid w:val="00D579AC"/>
    <w:rsid w:val="00D57E7C"/>
    <w:rsid w:val="00D60DFF"/>
    <w:rsid w:val="00D61846"/>
    <w:rsid w:val="00D619CA"/>
    <w:rsid w:val="00D61A87"/>
    <w:rsid w:val="00D61AAE"/>
    <w:rsid w:val="00D62DE8"/>
    <w:rsid w:val="00D630F6"/>
    <w:rsid w:val="00D6322D"/>
    <w:rsid w:val="00D64835"/>
    <w:rsid w:val="00D66811"/>
    <w:rsid w:val="00D66AC5"/>
    <w:rsid w:val="00D671C1"/>
    <w:rsid w:val="00D677E1"/>
    <w:rsid w:val="00D70A96"/>
    <w:rsid w:val="00D70B74"/>
    <w:rsid w:val="00D74FCB"/>
    <w:rsid w:val="00D75DA9"/>
    <w:rsid w:val="00D76469"/>
    <w:rsid w:val="00D76D0E"/>
    <w:rsid w:val="00D77932"/>
    <w:rsid w:val="00D77BB6"/>
    <w:rsid w:val="00D80022"/>
    <w:rsid w:val="00D81975"/>
    <w:rsid w:val="00D82DC5"/>
    <w:rsid w:val="00D82F5B"/>
    <w:rsid w:val="00D831D2"/>
    <w:rsid w:val="00D840FF"/>
    <w:rsid w:val="00D84D17"/>
    <w:rsid w:val="00D84F1D"/>
    <w:rsid w:val="00D850BF"/>
    <w:rsid w:val="00D85F01"/>
    <w:rsid w:val="00D93337"/>
    <w:rsid w:val="00D9363E"/>
    <w:rsid w:val="00D9398D"/>
    <w:rsid w:val="00D96959"/>
    <w:rsid w:val="00D977A5"/>
    <w:rsid w:val="00D97EDA"/>
    <w:rsid w:val="00DA1F32"/>
    <w:rsid w:val="00DA2C04"/>
    <w:rsid w:val="00DA31F5"/>
    <w:rsid w:val="00DA34B1"/>
    <w:rsid w:val="00DA41A3"/>
    <w:rsid w:val="00DA5434"/>
    <w:rsid w:val="00DA79F8"/>
    <w:rsid w:val="00DB0E96"/>
    <w:rsid w:val="00DB3D7E"/>
    <w:rsid w:val="00DB3DD0"/>
    <w:rsid w:val="00DB4265"/>
    <w:rsid w:val="00DB457A"/>
    <w:rsid w:val="00DB533F"/>
    <w:rsid w:val="00DB5AEA"/>
    <w:rsid w:val="00DB7C22"/>
    <w:rsid w:val="00DC0BA2"/>
    <w:rsid w:val="00DC0F17"/>
    <w:rsid w:val="00DC1980"/>
    <w:rsid w:val="00DC4DCB"/>
    <w:rsid w:val="00DC5FDB"/>
    <w:rsid w:val="00DC7125"/>
    <w:rsid w:val="00DD149F"/>
    <w:rsid w:val="00DD212C"/>
    <w:rsid w:val="00DD23CD"/>
    <w:rsid w:val="00DD30EE"/>
    <w:rsid w:val="00DD3420"/>
    <w:rsid w:val="00DD3762"/>
    <w:rsid w:val="00DD41C3"/>
    <w:rsid w:val="00DD6607"/>
    <w:rsid w:val="00DD720A"/>
    <w:rsid w:val="00DE1AA1"/>
    <w:rsid w:val="00DE1C78"/>
    <w:rsid w:val="00DE20D5"/>
    <w:rsid w:val="00DE22BD"/>
    <w:rsid w:val="00DE2EA4"/>
    <w:rsid w:val="00DE3D8B"/>
    <w:rsid w:val="00DE3E7D"/>
    <w:rsid w:val="00DE3F85"/>
    <w:rsid w:val="00DE4792"/>
    <w:rsid w:val="00DE49EE"/>
    <w:rsid w:val="00DE577F"/>
    <w:rsid w:val="00DE598A"/>
    <w:rsid w:val="00DE7505"/>
    <w:rsid w:val="00DF084E"/>
    <w:rsid w:val="00DF135C"/>
    <w:rsid w:val="00DF1E6F"/>
    <w:rsid w:val="00DF25F1"/>
    <w:rsid w:val="00DF26AC"/>
    <w:rsid w:val="00DF285D"/>
    <w:rsid w:val="00DF2C6A"/>
    <w:rsid w:val="00DF3710"/>
    <w:rsid w:val="00DF4CA6"/>
    <w:rsid w:val="00DF5304"/>
    <w:rsid w:val="00DF6682"/>
    <w:rsid w:val="00DF66CF"/>
    <w:rsid w:val="00DF6C69"/>
    <w:rsid w:val="00DF7F0F"/>
    <w:rsid w:val="00E00417"/>
    <w:rsid w:val="00E00D2C"/>
    <w:rsid w:val="00E0357B"/>
    <w:rsid w:val="00E05493"/>
    <w:rsid w:val="00E06E64"/>
    <w:rsid w:val="00E07B62"/>
    <w:rsid w:val="00E124F9"/>
    <w:rsid w:val="00E12940"/>
    <w:rsid w:val="00E12B47"/>
    <w:rsid w:val="00E130D8"/>
    <w:rsid w:val="00E1369D"/>
    <w:rsid w:val="00E13A7C"/>
    <w:rsid w:val="00E144BC"/>
    <w:rsid w:val="00E14E3F"/>
    <w:rsid w:val="00E14FCE"/>
    <w:rsid w:val="00E15758"/>
    <w:rsid w:val="00E15C66"/>
    <w:rsid w:val="00E1635D"/>
    <w:rsid w:val="00E163BD"/>
    <w:rsid w:val="00E165E9"/>
    <w:rsid w:val="00E17873"/>
    <w:rsid w:val="00E205C5"/>
    <w:rsid w:val="00E210EA"/>
    <w:rsid w:val="00E21480"/>
    <w:rsid w:val="00E26B63"/>
    <w:rsid w:val="00E26EC9"/>
    <w:rsid w:val="00E2778F"/>
    <w:rsid w:val="00E27BF8"/>
    <w:rsid w:val="00E301FA"/>
    <w:rsid w:val="00E30432"/>
    <w:rsid w:val="00E306DF"/>
    <w:rsid w:val="00E30747"/>
    <w:rsid w:val="00E31AED"/>
    <w:rsid w:val="00E323BF"/>
    <w:rsid w:val="00E343C1"/>
    <w:rsid w:val="00E345BB"/>
    <w:rsid w:val="00E34B06"/>
    <w:rsid w:val="00E35694"/>
    <w:rsid w:val="00E35B24"/>
    <w:rsid w:val="00E36A26"/>
    <w:rsid w:val="00E36F63"/>
    <w:rsid w:val="00E37F41"/>
    <w:rsid w:val="00E405FE"/>
    <w:rsid w:val="00E40791"/>
    <w:rsid w:val="00E4171E"/>
    <w:rsid w:val="00E422C4"/>
    <w:rsid w:val="00E43FA2"/>
    <w:rsid w:val="00E454BE"/>
    <w:rsid w:val="00E45EB9"/>
    <w:rsid w:val="00E47244"/>
    <w:rsid w:val="00E476F9"/>
    <w:rsid w:val="00E4773E"/>
    <w:rsid w:val="00E47963"/>
    <w:rsid w:val="00E508E0"/>
    <w:rsid w:val="00E50C86"/>
    <w:rsid w:val="00E50C92"/>
    <w:rsid w:val="00E50FEA"/>
    <w:rsid w:val="00E516DD"/>
    <w:rsid w:val="00E53DC0"/>
    <w:rsid w:val="00E575ED"/>
    <w:rsid w:val="00E6016B"/>
    <w:rsid w:val="00E6049C"/>
    <w:rsid w:val="00E61BA8"/>
    <w:rsid w:val="00E64746"/>
    <w:rsid w:val="00E650AC"/>
    <w:rsid w:val="00E6623E"/>
    <w:rsid w:val="00E66C19"/>
    <w:rsid w:val="00E67737"/>
    <w:rsid w:val="00E7039A"/>
    <w:rsid w:val="00E7093D"/>
    <w:rsid w:val="00E7259E"/>
    <w:rsid w:val="00E73191"/>
    <w:rsid w:val="00E73AAA"/>
    <w:rsid w:val="00E73FEC"/>
    <w:rsid w:val="00E742F1"/>
    <w:rsid w:val="00E76DDE"/>
    <w:rsid w:val="00E77CA1"/>
    <w:rsid w:val="00E82611"/>
    <w:rsid w:val="00E82659"/>
    <w:rsid w:val="00E82DAB"/>
    <w:rsid w:val="00E83DD3"/>
    <w:rsid w:val="00E84053"/>
    <w:rsid w:val="00E8416C"/>
    <w:rsid w:val="00E84D91"/>
    <w:rsid w:val="00E8544E"/>
    <w:rsid w:val="00E86BA8"/>
    <w:rsid w:val="00E8747F"/>
    <w:rsid w:val="00E879DE"/>
    <w:rsid w:val="00E87AA3"/>
    <w:rsid w:val="00E9101C"/>
    <w:rsid w:val="00E91778"/>
    <w:rsid w:val="00E91CCA"/>
    <w:rsid w:val="00E92259"/>
    <w:rsid w:val="00E93F0D"/>
    <w:rsid w:val="00E94851"/>
    <w:rsid w:val="00E9568A"/>
    <w:rsid w:val="00E95919"/>
    <w:rsid w:val="00E95D88"/>
    <w:rsid w:val="00E96818"/>
    <w:rsid w:val="00E9688F"/>
    <w:rsid w:val="00E97C4F"/>
    <w:rsid w:val="00EA0DDE"/>
    <w:rsid w:val="00EA0EE5"/>
    <w:rsid w:val="00EA1442"/>
    <w:rsid w:val="00EA1A1A"/>
    <w:rsid w:val="00EA36FF"/>
    <w:rsid w:val="00EA3847"/>
    <w:rsid w:val="00EA3C7A"/>
    <w:rsid w:val="00EA3F39"/>
    <w:rsid w:val="00EA534B"/>
    <w:rsid w:val="00EA56B2"/>
    <w:rsid w:val="00EA6882"/>
    <w:rsid w:val="00EA71EF"/>
    <w:rsid w:val="00EB113B"/>
    <w:rsid w:val="00EB1D15"/>
    <w:rsid w:val="00EB2322"/>
    <w:rsid w:val="00EB3D82"/>
    <w:rsid w:val="00EB5CF7"/>
    <w:rsid w:val="00EB6387"/>
    <w:rsid w:val="00EC102D"/>
    <w:rsid w:val="00EC1DEB"/>
    <w:rsid w:val="00EC2627"/>
    <w:rsid w:val="00EC3719"/>
    <w:rsid w:val="00EC3A96"/>
    <w:rsid w:val="00EC6E1E"/>
    <w:rsid w:val="00ED05B9"/>
    <w:rsid w:val="00ED1B84"/>
    <w:rsid w:val="00ED1D06"/>
    <w:rsid w:val="00ED2432"/>
    <w:rsid w:val="00ED308F"/>
    <w:rsid w:val="00ED3653"/>
    <w:rsid w:val="00ED3D45"/>
    <w:rsid w:val="00ED43BF"/>
    <w:rsid w:val="00ED4BB5"/>
    <w:rsid w:val="00ED5194"/>
    <w:rsid w:val="00ED7291"/>
    <w:rsid w:val="00EE0342"/>
    <w:rsid w:val="00EE034E"/>
    <w:rsid w:val="00EE0C1F"/>
    <w:rsid w:val="00EE19DD"/>
    <w:rsid w:val="00EE2199"/>
    <w:rsid w:val="00EE26F5"/>
    <w:rsid w:val="00EE29B7"/>
    <w:rsid w:val="00EE2D3C"/>
    <w:rsid w:val="00EE4125"/>
    <w:rsid w:val="00EE4EF0"/>
    <w:rsid w:val="00EE5240"/>
    <w:rsid w:val="00EE53C6"/>
    <w:rsid w:val="00EE5813"/>
    <w:rsid w:val="00EE6D9F"/>
    <w:rsid w:val="00EF087B"/>
    <w:rsid w:val="00EF0ADB"/>
    <w:rsid w:val="00EF1103"/>
    <w:rsid w:val="00EF130B"/>
    <w:rsid w:val="00EF2326"/>
    <w:rsid w:val="00EF368C"/>
    <w:rsid w:val="00EF6571"/>
    <w:rsid w:val="00F004C4"/>
    <w:rsid w:val="00F00636"/>
    <w:rsid w:val="00F0254F"/>
    <w:rsid w:val="00F02F3A"/>
    <w:rsid w:val="00F03E38"/>
    <w:rsid w:val="00F0413D"/>
    <w:rsid w:val="00F04B3F"/>
    <w:rsid w:val="00F04FB4"/>
    <w:rsid w:val="00F05D38"/>
    <w:rsid w:val="00F05FCE"/>
    <w:rsid w:val="00F06B9F"/>
    <w:rsid w:val="00F103B6"/>
    <w:rsid w:val="00F104DC"/>
    <w:rsid w:val="00F11C09"/>
    <w:rsid w:val="00F12516"/>
    <w:rsid w:val="00F12581"/>
    <w:rsid w:val="00F129E5"/>
    <w:rsid w:val="00F1324B"/>
    <w:rsid w:val="00F145FB"/>
    <w:rsid w:val="00F15B64"/>
    <w:rsid w:val="00F15D4B"/>
    <w:rsid w:val="00F16775"/>
    <w:rsid w:val="00F200C0"/>
    <w:rsid w:val="00F20197"/>
    <w:rsid w:val="00F2073E"/>
    <w:rsid w:val="00F20FAF"/>
    <w:rsid w:val="00F24309"/>
    <w:rsid w:val="00F2464E"/>
    <w:rsid w:val="00F2486A"/>
    <w:rsid w:val="00F25AD7"/>
    <w:rsid w:val="00F305C3"/>
    <w:rsid w:val="00F306E5"/>
    <w:rsid w:val="00F30B83"/>
    <w:rsid w:val="00F31F0E"/>
    <w:rsid w:val="00F32CB0"/>
    <w:rsid w:val="00F3310A"/>
    <w:rsid w:val="00F33382"/>
    <w:rsid w:val="00F33CE9"/>
    <w:rsid w:val="00F34782"/>
    <w:rsid w:val="00F34D56"/>
    <w:rsid w:val="00F36297"/>
    <w:rsid w:val="00F40D86"/>
    <w:rsid w:val="00F40EEB"/>
    <w:rsid w:val="00F41479"/>
    <w:rsid w:val="00F43357"/>
    <w:rsid w:val="00F433A1"/>
    <w:rsid w:val="00F4382B"/>
    <w:rsid w:val="00F43F48"/>
    <w:rsid w:val="00F4467F"/>
    <w:rsid w:val="00F452BC"/>
    <w:rsid w:val="00F45600"/>
    <w:rsid w:val="00F459FC"/>
    <w:rsid w:val="00F47D2C"/>
    <w:rsid w:val="00F50113"/>
    <w:rsid w:val="00F50A3A"/>
    <w:rsid w:val="00F531FF"/>
    <w:rsid w:val="00F53BC6"/>
    <w:rsid w:val="00F5527A"/>
    <w:rsid w:val="00F5529D"/>
    <w:rsid w:val="00F578D2"/>
    <w:rsid w:val="00F607AA"/>
    <w:rsid w:val="00F611F7"/>
    <w:rsid w:val="00F628C3"/>
    <w:rsid w:val="00F63927"/>
    <w:rsid w:val="00F6444A"/>
    <w:rsid w:val="00F65D32"/>
    <w:rsid w:val="00F65E63"/>
    <w:rsid w:val="00F66C2B"/>
    <w:rsid w:val="00F67C97"/>
    <w:rsid w:val="00F72BD2"/>
    <w:rsid w:val="00F72BE4"/>
    <w:rsid w:val="00F73C21"/>
    <w:rsid w:val="00F740CC"/>
    <w:rsid w:val="00F745B9"/>
    <w:rsid w:val="00F762B6"/>
    <w:rsid w:val="00F76C1C"/>
    <w:rsid w:val="00F80EBA"/>
    <w:rsid w:val="00F8212C"/>
    <w:rsid w:val="00F825DB"/>
    <w:rsid w:val="00F82BFB"/>
    <w:rsid w:val="00F82DB1"/>
    <w:rsid w:val="00F852D7"/>
    <w:rsid w:val="00F85EFC"/>
    <w:rsid w:val="00F86A64"/>
    <w:rsid w:val="00F8700B"/>
    <w:rsid w:val="00F9028A"/>
    <w:rsid w:val="00F909B9"/>
    <w:rsid w:val="00F90D24"/>
    <w:rsid w:val="00F959DD"/>
    <w:rsid w:val="00F97DBA"/>
    <w:rsid w:val="00FA0031"/>
    <w:rsid w:val="00FA19A7"/>
    <w:rsid w:val="00FA1D84"/>
    <w:rsid w:val="00FA1F34"/>
    <w:rsid w:val="00FA202A"/>
    <w:rsid w:val="00FA2BBA"/>
    <w:rsid w:val="00FA358D"/>
    <w:rsid w:val="00FA49EF"/>
    <w:rsid w:val="00FA4DBA"/>
    <w:rsid w:val="00FA6B94"/>
    <w:rsid w:val="00FA6F80"/>
    <w:rsid w:val="00FA79DF"/>
    <w:rsid w:val="00FB2320"/>
    <w:rsid w:val="00FB2818"/>
    <w:rsid w:val="00FB42B1"/>
    <w:rsid w:val="00FB48E6"/>
    <w:rsid w:val="00FB493E"/>
    <w:rsid w:val="00FB4ADC"/>
    <w:rsid w:val="00FB4D4C"/>
    <w:rsid w:val="00FB50E0"/>
    <w:rsid w:val="00FB5758"/>
    <w:rsid w:val="00FB5906"/>
    <w:rsid w:val="00FB7F3A"/>
    <w:rsid w:val="00FC0001"/>
    <w:rsid w:val="00FC09D4"/>
    <w:rsid w:val="00FC105B"/>
    <w:rsid w:val="00FC1B6C"/>
    <w:rsid w:val="00FC2205"/>
    <w:rsid w:val="00FC277E"/>
    <w:rsid w:val="00FC28EC"/>
    <w:rsid w:val="00FC3F0D"/>
    <w:rsid w:val="00FC5B5A"/>
    <w:rsid w:val="00FC7C12"/>
    <w:rsid w:val="00FD02B1"/>
    <w:rsid w:val="00FD0C01"/>
    <w:rsid w:val="00FD1C4D"/>
    <w:rsid w:val="00FD2118"/>
    <w:rsid w:val="00FD2642"/>
    <w:rsid w:val="00FD27B4"/>
    <w:rsid w:val="00FD2A75"/>
    <w:rsid w:val="00FD2C39"/>
    <w:rsid w:val="00FD4401"/>
    <w:rsid w:val="00FD46EE"/>
    <w:rsid w:val="00FD525B"/>
    <w:rsid w:val="00FD5CD7"/>
    <w:rsid w:val="00FD6620"/>
    <w:rsid w:val="00FD74C9"/>
    <w:rsid w:val="00FD778F"/>
    <w:rsid w:val="00FE0774"/>
    <w:rsid w:val="00FE0934"/>
    <w:rsid w:val="00FE0971"/>
    <w:rsid w:val="00FE3453"/>
    <w:rsid w:val="00FE38DB"/>
    <w:rsid w:val="00FE4D45"/>
    <w:rsid w:val="00FE5D59"/>
    <w:rsid w:val="00FE6675"/>
    <w:rsid w:val="00FE6A40"/>
    <w:rsid w:val="00FE6EF0"/>
    <w:rsid w:val="00FE7055"/>
    <w:rsid w:val="00FE7B28"/>
    <w:rsid w:val="00FE7E78"/>
    <w:rsid w:val="00FF28B6"/>
    <w:rsid w:val="00FF3E81"/>
    <w:rsid w:val="00FF4226"/>
    <w:rsid w:val="00FF61C9"/>
    <w:rsid w:val="00FF68AD"/>
    <w:rsid w:val="00FF6C8E"/>
    <w:rsid w:val="00FF7814"/>
    <w:rsid w:val="010A9B97"/>
    <w:rsid w:val="0127AB9E"/>
    <w:rsid w:val="0159CD14"/>
    <w:rsid w:val="01F7851C"/>
    <w:rsid w:val="02FDF6D2"/>
    <w:rsid w:val="03970212"/>
    <w:rsid w:val="05516AD2"/>
    <w:rsid w:val="0AB97B7D"/>
    <w:rsid w:val="0B37DB09"/>
    <w:rsid w:val="0C651AE6"/>
    <w:rsid w:val="0E9156D5"/>
    <w:rsid w:val="0EE9F6AC"/>
    <w:rsid w:val="0F6E9226"/>
    <w:rsid w:val="119A8E0C"/>
    <w:rsid w:val="125C978E"/>
    <w:rsid w:val="170767FA"/>
    <w:rsid w:val="19A6F7BF"/>
    <w:rsid w:val="1AACEEDB"/>
    <w:rsid w:val="1AF7F7FE"/>
    <w:rsid w:val="1C14DB94"/>
    <w:rsid w:val="1D0F1D4F"/>
    <w:rsid w:val="1EE71663"/>
    <w:rsid w:val="1F2316AF"/>
    <w:rsid w:val="2064D9D2"/>
    <w:rsid w:val="2069DAC1"/>
    <w:rsid w:val="219FFB8C"/>
    <w:rsid w:val="22859952"/>
    <w:rsid w:val="22C7F9A4"/>
    <w:rsid w:val="232B43FC"/>
    <w:rsid w:val="23783BB3"/>
    <w:rsid w:val="25C0529C"/>
    <w:rsid w:val="271B8EF1"/>
    <w:rsid w:val="28B95F9C"/>
    <w:rsid w:val="29706913"/>
    <w:rsid w:val="2CBBB9C4"/>
    <w:rsid w:val="2F9CA79F"/>
    <w:rsid w:val="308E1FF4"/>
    <w:rsid w:val="32849E9C"/>
    <w:rsid w:val="338008A5"/>
    <w:rsid w:val="341FE80C"/>
    <w:rsid w:val="342FD2DE"/>
    <w:rsid w:val="35CD3A9D"/>
    <w:rsid w:val="39A62E79"/>
    <w:rsid w:val="39C2B7A7"/>
    <w:rsid w:val="3B74F4F8"/>
    <w:rsid w:val="3C7FDDB6"/>
    <w:rsid w:val="3E5C7C1E"/>
    <w:rsid w:val="406B85D0"/>
    <w:rsid w:val="406D28DF"/>
    <w:rsid w:val="434F5B36"/>
    <w:rsid w:val="4448D4DB"/>
    <w:rsid w:val="445625A8"/>
    <w:rsid w:val="48427158"/>
    <w:rsid w:val="49B99704"/>
    <w:rsid w:val="4C301EF2"/>
    <w:rsid w:val="4EC55BFC"/>
    <w:rsid w:val="4F3EE5D7"/>
    <w:rsid w:val="50A329B2"/>
    <w:rsid w:val="511266C5"/>
    <w:rsid w:val="51CD725D"/>
    <w:rsid w:val="53F21AF4"/>
    <w:rsid w:val="56303918"/>
    <w:rsid w:val="5694D7B0"/>
    <w:rsid w:val="56BF39CD"/>
    <w:rsid w:val="573F519B"/>
    <w:rsid w:val="58B7DE66"/>
    <w:rsid w:val="59B1FBF2"/>
    <w:rsid w:val="5A2F5FD4"/>
    <w:rsid w:val="5BA87AA3"/>
    <w:rsid w:val="5CE09F10"/>
    <w:rsid w:val="5DA1FBF2"/>
    <w:rsid w:val="60714AD0"/>
    <w:rsid w:val="61399BD7"/>
    <w:rsid w:val="6214902C"/>
    <w:rsid w:val="63EB25BC"/>
    <w:rsid w:val="640331AC"/>
    <w:rsid w:val="6450C3FE"/>
    <w:rsid w:val="656E0D46"/>
    <w:rsid w:val="66A03C9D"/>
    <w:rsid w:val="66F70B1B"/>
    <w:rsid w:val="68DE98A0"/>
    <w:rsid w:val="69789FDC"/>
    <w:rsid w:val="698FD342"/>
    <w:rsid w:val="6A129B3D"/>
    <w:rsid w:val="6C85B28E"/>
    <w:rsid w:val="6E1A3B22"/>
    <w:rsid w:val="71211CA7"/>
    <w:rsid w:val="74658DF2"/>
    <w:rsid w:val="7552CBA0"/>
    <w:rsid w:val="771598C8"/>
    <w:rsid w:val="78BEB065"/>
    <w:rsid w:val="7D591917"/>
    <w:rsid w:val="7DDA43B0"/>
    <w:rsid w:val="7F57D81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95FC76"/>
  <w14:defaultImageDpi w14:val="300"/>
  <w15:chartTrackingRefBased/>
  <w15:docId w15:val="{7C4C74E7-0F95-4307-A6EE-B3147655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62"/>
    <w:pPr>
      <w:spacing w:after="240" w:line="280" w:lineRule="exact"/>
    </w:pPr>
    <w:rPr>
      <w:rFonts w:ascii="Arial" w:eastAsia="Times New Roman" w:hAnsi="Arial"/>
      <w:sz w:val="22"/>
      <w:szCs w:val="24"/>
      <w:lang w:val="en-GB"/>
    </w:rPr>
  </w:style>
  <w:style w:type="paragraph" w:styleId="Heading1">
    <w:name w:val="heading 1"/>
    <w:basedOn w:val="Normal"/>
    <w:next w:val="Normal"/>
    <w:link w:val="Heading1Char"/>
    <w:qFormat/>
    <w:rsid w:val="001F65CF"/>
    <w:pPr>
      <w:keepNext/>
      <w:spacing w:before="360" w:after="200" w:line="240" w:lineRule="auto"/>
      <w:outlineLvl w:val="0"/>
    </w:pPr>
    <w:rPr>
      <w:b/>
      <w:kern w:val="32"/>
      <w:sz w:val="32"/>
      <w:szCs w:val="32"/>
    </w:rPr>
  </w:style>
  <w:style w:type="paragraph" w:styleId="Heading2">
    <w:name w:val="heading 2"/>
    <w:basedOn w:val="Normal"/>
    <w:next w:val="Normal"/>
    <w:link w:val="Heading2Char"/>
    <w:qFormat/>
    <w:rsid w:val="001F65CF"/>
    <w:pPr>
      <w:keepNext/>
      <w:spacing w:before="360" w:after="200" w:line="240" w:lineRule="auto"/>
      <w:outlineLvl w:val="1"/>
    </w:pPr>
    <w:rPr>
      <w:b/>
      <w:sz w:val="28"/>
      <w:szCs w:val="32"/>
      <w:lang w:val="en-AU"/>
    </w:rPr>
  </w:style>
  <w:style w:type="paragraph" w:styleId="Heading3">
    <w:name w:val="heading 3"/>
    <w:basedOn w:val="Normal"/>
    <w:next w:val="Normal"/>
    <w:link w:val="Heading3Char"/>
    <w:qFormat/>
    <w:rsid w:val="006B4644"/>
    <w:pPr>
      <w:keepNext/>
      <w:spacing w:before="240" w:line="240" w:lineRule="auto"/>
      <w:outlineLvl w:val="2"/>
    </w:pPr>
    <w:rPr>
      <w:b/>
      <w:color w:val="000000"/>
      <w:sz w:val="24"/>
      <w:lang w:val="en-AU"/>
    </w:rPr>
  </w:style>
  <w:style w:type="paragraph" w:styleId="Heading4">
    <w:name w:val="heading 4"/>
    <w:basedOn w:val="Normal"/>
    <w:next w:val="Normal"/>
    <w:link w:val="Heading4Char"/>
    <w:qFormat/>
    <w:rsid w:val="00D06B2B"/>
    <w:pPr>
      <w:keepNext/>
      <w:spacing w:before="240" w:line="240" w:lineRule="auto"/>
      <w:outlineLvl w:val="3"/>
    </w:pPr>
    <w:rPr>
      <w:b/>
    </w:rPr>
  </w:style>
  <w:style w:type="paragraph" w:styleId="Heading5">
    <w:name w:val="heading 5"/>
    <w:basedOn w:val="Normal"/>
    <w:next w:val="Normal"/>
    <w:link w:val="Heading5Char"/>
    <w:uiPriority w:val="9"/>
    <w:unhideWhenUsed/>
    <w:rsid w:val="004E61C6"/>
    <w:pPr>
      <w:keepNext/>
      <w:keepLines/>
      <w:spacing w:before="40" w:after="12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65CF"/>
    <w:rPr>
      <w:rFonts w:ascii="Arial" w:eastAsia="Times New Roman" w:hAnsi="Arial"/>
      <w:b/>
      <w:kern w:val="32"/>
      <w:sz w:val="32"/>
      <w:szCs w:val="32"/>
      <w:lang w:val="en-GB"/>
    </w:rPr>
  </w:style>
  <w:style w:type="paragraph" w:styleId="ListParagraph">
    <w:name w:val="List Paragraph"/>
    <w:basedOn w:val="Normal"/>
    <w:uiPriority w:val="34"/>
    <w:rsid w:val="008A699D"/>
    <w:pPr>
      <w:ind w:left="720"/>
      <w:contextualSpacing/>
    </w:pPr>
  </w:style>
  <w:style w:type="character" w:customStyle="1" w:styleId="Heading2Char">
    <w:name w:val="Heading 2 Char"/>
    <w:link w:val="Heading2"/>
    <w:rsid w:val="001F65CF"/>
    <w:rPr>
      <w:rFonts w:ascii="Arial" w:eastAsia="Times New Roman" w:hAnsi="Arial"/>
      <w:b/>
      <w:sz w:val="28"/>
      <w:szCs w:val="32"/>
    </w:rPr>
  </w:style>
  <w:style w:type="paragraph" w:styleId="Footer">
    <w:name w:val="footer"/>
    <w:basedOn w:val="Normal"/>
    <w:link w:val="FooterChar"/>
    <w:semiHidden/>
    <w:rsid w:val="004E61C6"/>
    <w:pPr>
      <w:tabs>
        <w:tab w:val="center" w:pos="4320"/>
        <w:tab w:val="right" w:pos="8640"/>
      </w:tabs>
    </w:pPr>
  </w:style>
  <w:style w:type="character" w:customStyle="1" w:styleId="FooterChar">
    <w:name w:val="Footer Char"/>
    <w:basedOn w:val="DefaultParagraphFont"/>
    <w:link w:val="Footer"/>
    <w:semiHidden/>
    <w:rsid w:val="004E61C6"/>
    <w:rPr>
      <w:rFonts w:ascii="Arial" w:eastAsia="Times New Roman" w:hAnsi="Arial"/>
      <w:sz w:val="22"/>
      <w:szCs w:val="24"/>
      <w:lang w:val="en-GB"/>
    </w:rPr>
  </w:style>
  <w:style w:type="character" w:styleId="FootnoteReference">
    <w:name w:val="footnote reference"/>
    <w:basedOn w:val="DefaultParagraphFont"/>
    <w:uiPriority w:val="99"/>
    <w:semiHidden/>
    <w:rsid w:val="004E61C6"/>
    <w:rPr>
      <w:rFonts w:ascii="Arial" w:hAnsi="Arial"/>
      <w:sz w:val="22"/>
      <w:vertAlign w:val="superscript"/>
    </w:rPr>
  </w:style>
  <w:style w:type="paragraph" w:styleId="FootnoteText">
    <w:name w:val="footnote text"/>
    <w:aliases w:val="Footnote text"/>
    <w:basedOn w:val="Normal"/>
    <w:link w:val="FootnoteTextChar"/>
    <w:semiHidden/>
    <w:rsid w:val="004E61C6"/>
    <w:pPr>
      <w:ind w:left="567" w:hanging="567"/>
    </w:pPr>
    <w:rPr>
      <w:sz w:val="18"/>
    </w:rPr>
  </w:style>
  <w:style w:type="character" w:customStyle="1" w:styleId="FootnoteTextChar">
    <w:name w:val="Footnote Text Char"/>
    <w:aliases w:val="Footnote text Char"/>
    <w:link w:val="FootnoteText"/>
    <w:semiHidden/>
    <w:rsid w:val="004E61C6"/>
    <w:rPr>
      <w:rFonts w:ascii="Arial" w:eastAsia="Times New Roman" w:hAnsi="Arial"/>
      <w:sz w:val="18"/>
      <w:szCs w:val="24"/>
      <w:lang w:val="en-GB"/>
    </w:rPr>
  </w:style>
  <w:style w:type="character" w:customStyle="1" w:styleId="Heading5Char">
    <w:name w:val="Heading 5 Char"/>
    <w:basedOn w:val="DefaultParagraphFont"/>
    <w:link w:val="Heading5"/>
    <w:uiPriority w:val="9"/>
    <w:rsid w:val="004E61C6"/>
    <w:rPr>
      <w:rFonts w:asciiTheme="majorHAnsi" w:eastAsiaTheme="majorEastAsia" w:hAnsiTheme="majorHAnsi" w:cstheme="majorBidi"/>
      <w:b/>
      <w:color w:val="000000" w:themeColor="text1"/>
      <w:sz w:val="22"/>
      <w:szCs w:val="24"/>
      <w:lang w:val="en-GB"/>
    </w:rPr>
  </w:style>
  <w:style w:type="character" w:customStyle="1" w:styleId="Heading3Char">
    <w:name w:val="Heading 3 Char"/>
    <w:link w:val="Heading3"/>
    <w:rsid w:val="006B4644"/>
    <w:rPr>
      <w:rFonts w:ascii="Arial" w:eastAsia="Times New Roman" w:hAnsi="Arial"/>
      <w:b/>
      <w:color w:val="000000"/>
      <w:sz w:val="24"/>
      <w:szCs w:val="24"/>
    </w:rPr>
  </w:style>
  <w:style w:type="character" w:customStyle="1" w:styleId="Heading4Char">
    <w:name w:val="Heading 4 Char"/>
    <w:link w:val="Heading4"/>
    <w:rsid w:val="00D06B2B"/>
    <w:rPr>
      <w:rFonts w:ascii="Arial" w:eastAsia="Times New Roman" w:hAnsi="Arial"/>
      <w:b/>
      <w:sz w:val="22"/>
      <w:szCs w:val="24"/>
      <w:lang w:val="en-GB"/>
    </w:rPr>
  </w:style>
  <w:style w:type="paragraph" w:customStyle="1" w:styleId="NumberedHeading1">
    <w:name w:val="Numbered Heading 1"/>
    <w:basedOn w:val="Heading1"/>
    <w:next w:val="Normal"/>
    <w:rsid w:val="009D4312"/>
    <w:pPr>
      <w:numPr>
        <w:numId w:val="14"/>
      </w:numPr>
    </w:pPr>
    <w:rPr>
      <w:kern w:val="0"/>
    </w:rPr>
  </w:style>
  <w:style w:type="paragraph" w:customStyle="1" w:styleId="NumberedHeading2">
    <w:name w:val="Numbered Heading 2"/>
    <w:basedOn w:val="Heading2"/>
    <w:next w:val="Normal"/>
    <w:rsid w:val="009D4312"/>
    <w:pPr>
      <w:numPr>
        <w:ilvl w:val="1"/>
        <w:numId w:val="14"/>
      </w:numPr>
    </w:pPr>
  </w:style>
  <w:style w:type="paragraph" w:customStyle="1" w:styleId="Numberedheading3-legal">
    <w:name w:val="Numbered heading 3 - legal"/>
    <w:basedOn w:val="Normal"/>
    <w:rsid w:val="004E61C6"/>
    <w:pPr>
      <w:numPr>
        <w:ilvl w:val="2"/>
        <w:numId w:val="14"/>
      </w:numPr>
      <w:spacing w:before="120"/>
    </w:pPr>
    <w:rPr>
      <w:b/>
      <w:sz w:val="24"/>
    </w:rPr>
  </w:style>
  <w:style w:type="paragraph" w:customStyle="1" w:styleId="Numberedheading4-legal">
    <w:name w:val="Numbered heading 4 - legal"/>
    <w:basedOn w:val="Numberedheading3-legal"/>
    <w:rsid w:val="004E61C6"/>
    <w:pPr>
      <w:numPr>
        <w:ilvl w:val="3"/>
      </w:numPr>
    </w:pPr>
    <w:rPr>
      <w:sz w:val="22"/>
    </w:rPr>
  </w:style>
  <w:style w:type="paragraph" w:styleId="Quote">
    <w:name w:val="Quote"/>
    <w:basedOn w:val="Normal"/>
    <w:link w:val="QuoteChar"/>
    <w:rsid w:val="00B5521A"/>
    <w:pPr>
      <w:ind w:left="567" w:right="556"/>
    </w:pPr>
    <w:rPr>
      <w:iCs/>
    </w:rPr>
  </w:style>
  <w:style w:type="character" w:customStyle="1" w:styleId="QuoteChar">
    <w:name w:val="Quote Char"/>
    <w:link w:val="Quote"/>
    <w:rsid w:val="00B5521A"/>
    <w:rPr>
      <w:rFonts w:ascii="Arial" w:eastAsia="Times New Roman" w:hAnsi="Arial"/>
      <w:iCs/>
      <w:sz w:val="22"/>
      <w:szCs w:val="24"/>
      <w:lang w:val="en-GB"/>
    </w:rPr>
  </w:style>
  <w:style w:type="paragraph" w:customStyle="1" w:styleId="Recommendation">
    <w:name w:val="Recommendation"/>
    <w:basedOn w:val="Normal"/>
    <w:next w:val="Normal"/>
    <w:rsid w:val="009D4312"/>
    <w:pPr>
      <w:keepNext/>
      <w:pBdr>
        <w:bottom w:val="dotted" w:sz="4" w:space="0" w:color="auto"/>
      </w:pBdr>
      <w:spacing w:before="120"/>
    </w:pPr>
    <w:rPr>
      <w:b/>
      <w:i/>
      <w:szCs w:val="20"/>
    </w:rPr>
  </w:style>
  <w:style w:type="paragraph" w:customStyle="1" w:styleId="Recommendationtext">
    <w:name w:val="Recommendation text"/>
    <w:basedOn w:val="Recommendation"/>
    <w:rsid w:val="009D4312"/>
    <w:pPr>
      <w:keepNext w:val="0"/>
      <w:pBdr>
        <w:bottom w:val="none" w:sz="0" w:space="0" w:color="auto"/>
      </w:pBdr>
      <w:spacing w:before="0"/>
    </w:pPr>
    <w:rPr>
      <w:b w:val="0"/>
    </w:rPr>
  </w:style>
  <w:style w:type="paragraph" w:styleId="TOC1">
    <w:name w:val="toc 1"/>
    <w:basedOn w:val="Normal"/>
    <w:next w:val="Normal"/>
    <w:uiPriority w:val="39"/>
    <w:rsid w:val="000850F5"/>
    <w:pPr>
      <w:tabs>
        <w:tab w:val="right" w:leader="dot" w:pos="9459"/>
      </w:tabs>
      <w:spacing w:before="120" w:after="120"/>
      <w:ind w:left="567" w:hanging="567"/>
    </w:pPr>
    <w:rPr>
      <w:b/>
      <w:noProof/>
      <w:sz w:val="24"/>
    </w:rPr>
  </w:style>
  <w:style w:type="paragraph" w:styleId="TOC2">
    <w:name w:val="toc 2"/>
    <w:basedOn w:val="Normal"/>
    <w:next w:val="Normal"/>
    <w:uiPriority w:val="39"/>
    <w:rsid w:val="000850F5"/>
    <w:pPr>
      <w:tabs>
        <w:tab w:val="left" w:pos="1134"/>
        <w:tab w:val="right" w:leader="dot" w:pos="9459"/>
      </w:tabs>
      <w:spacing w:before="120" w:after="120"/>
      <w:ind w:left="1701" w:hanging="1134"/>
    </w:pPr>
  </w:style>
  <w:style w:type="paragraph" w:styleId="TOC3">
    <w:name w:val="toc 3"/>
    <w:basedOn w:val="Normal"/>
    <w:next w:val="Normal"/>
    <w:uiPriority w:val="39"/>
    <w:rsid w:val="000850F5"/>
    <w:pPr>
      <w:tabs>
        <w:tab w:val="right" w:leader="dot" w:pos="9458"/>
      </w:tabs>
      <w:spacing w:before="120" w:after="120"/>
      <w:ind w:left="1134"/>
    </w:pPr>
    <w:rPr>
      <w:noProof/>
    </w:rPr>
  </w:style>
  <w:style w:type="paragraph" w:styleId="TOC4">
    <w:name w:val="toc 4"/>
    <w:basedOn w:val="Normal"/>
    <w:next w:val="Normal"/>
    <w:semiHidden/>
    <w:rsid w:val="000850F5"/>
    <w:pPr>
      <w:tabs>
        <w:tab w:val="left" w:pos="2694"/>
        <w:tab w:val="right" w:leader="dot" w:pos="9459"/>
      </w:tabs>
      <w:ind w:left="4536" w:hanging="2693"/>
    </w:pPr>
    <w:rPr>
      <w:noProof/>
      <w:sz w:val="20"/>
    </w:rPr>
  </w:style>
  <w:style w:type="paragraph" w:styleId="TOC5">
    <w:name w:val="toc 5"/>
    <w:basedOn w:val="Normal"/>
    <w:next w:val="Normal"/>
    <w:autoRedefine/>
    <w:semiHidden/>
    <w:rsid w:val="000850F5"/>
    <w:pPr>
      <w:ind w:left="880"/>
    </w:pPr>
  </w:style>
  <w:style w:type="paragraph" w:styleId="TOC6">
    <w:name w:val="toc 6"/>
    <w:basedOn w:val="Normal"/>
    <w:next w:val="Normal"/>
    <w:autoRedefine/>
    <w:semiHidden/>
    <w:rsid w:val="00C4542E"/>
    <w:pPr>
      <w:ind w:left="1100"/>
    </w:pPr>
  </w:style>
  <w:style w:type="paragraph" w:styleId="TOC7">
    <w:name w:val="toc 7"/>
    <w:basedOn w:val="Normal"/>
    <w:next w:val="Normal"/>
    <w:autoRedefine/>
    <w:semiHidden/>
    <w:rsid w:val="00C4542E"/>
    <w:pPr>
      <w:ind w:left="1320"/>
    </w:pPr>
  </w:style>
  <w:style w:type="paragraph" w:styleId="TOC8">
    <w:name w:val="toc 8"/>
    <w:basedOn w:val="Normal"/>
    <w:next w:val="Normal"/>
    <w:autoRedefine/>
    <w:semiHidden/>
    <w:rsid w:val="00C4542E"/>
    <w:pPr>
      <w:ind w:left="1540"/>
    </w:pPr>
  </w:style>
  <w:style w:type="paragraph" w:styleId="TOC9">
    <w:name w:val="toc 9"/>
    <w:basedOn w:val="Normal"/>
    <w:next w:val="Normal"/>
    <w:autoRedefine/>
    <w:semiHidden/>
    <w:rsid w:val="00C4542E"/>
    <w:pPr>
      <w:ind w:left="1760"/>
    </w:pPr>
  </w:style>
  <w:style w:type="paragraph" w:customStyle="1" w:styleId="Normal-nospacebelowpara">
    <w:name w:val="Normal - no space below para"/>
    <w:basedOn w:val="Normal"/>
    <w:qFormat/>
    <w:rsid w:val="004E61C6"/>
    <w:pPr>
      <w:spacing w:after="40"/>
    </w:pPr>
  </w:style>
  <w:style w:type="paragraph" w:customStyle="1" w:styleId="NumberedListleftjustified">
    <w:name w:val="Numbered List left justified"/>
    <w:qFormat/>
    <w:rsid w:val="00F103B6"/>
    <w:pPr>
      <w:numPr>
        <w:numId w:val="16"/>
      </w:numPr>
      <w:spacing w:after="240" w:line="280" w:lineRule="exact"/>
      <w:ind w:left="357" w:hanging="357"/>
    </w:pPr>
    <w:rPr>
      <w:rFonts w:ascii="Arial" w:eastAsia="Times New Roman" w:hAnsi="Arial"/>
      <w:noProof/>
      <w:sz w:val="22"/>
    </w:rPr>
  </w:style>
  <w:style w:type="paragraph" w:styleId="BodyText">
    <w:name w:val="Body Text"/>
    <w:basedOn w:val="Normal"/>
    <w:link w:val="BodyTextChar"/>
    <w:uiPriority w:val="5"/>
    <w:unhideWhenUsed/>
    <w:qFormat/>
    <w:rsid w:val="00A45A41"/>
    <w:pPr>
      <w:spacing w:after="120"/>
    </w:pPr>
  </w:style>
  <w:style w:type="character" w:customStyle="1" w:styleId="BodyTextChar">
    <w:name w:val="Body Text Char"/>
    <w:basedOn w:val="DefaultParagraphFont"/>
    <w:link w:val="BodyText"/>
    <w:uiPriority w:val="5"/>
    <w:rsid w:val="00A45A41"/>
    <w:rPr>
      <w:rFonts w:ascii="Arial" w:eastAsia="Times New Roman" w:hAnsi="Arial"/>
      <w:sz w:val="22"/>
      <w:szCs w:val="24"/>
      <w:lang w:val="en-GB"/>
    </w:rPr>
  </w:style>
  <w:style w:type="character" w:styleId="Hyperlink">
    <w:name w:val="Hyperlink"/>
    <w:basedOn w:val="DefaultParagraphFont"/>
    <w:uiPriority w:val="99"/>
    <w:unhideWhenUsed/>
    <w:rsid w:val="005B79AA"/>
    <w:rPr>
      <w:color w:val="0000FF" w:themeColor="hyperlink"/>
      <w:u w:val="single"/>
    </w:rPr>
  </w:style>
  <w:style w:type="character" w:styleId="UnresolvedMention">
    <w:name w:val="Unresolved Mention"/>
    <w:basedOn w:val="DefaultParagraphFont"/>
    <w:uiPriority w:val="99"/>
    <w:rsid w:val="005B79AA"/>
    <w:rPr>
      <w:color w:val="605E5C"/>
      <w:shd w:val="clear" w:color="auto" w:fill="E1DFDD"/>
    </w:rPr>
  </w:style>
  <w:style w:type="character" w:styleId="CommentReference">
    <w:name w:val="annotation reference"/>
    <w:basedOn w:val="DefaultParagraphFont"/>
    <w:semiHidden/>
    <w:unhideWhenUsed/>
    <w:rsid w:val="00346352"/>
    <w:rPr>
      <w:sz w:val="16"/>
      <w:szCs w:val="16"/>
    </w:rPr>
  </w:style>
  <w:style w:type="paragraph" w:styleId="CommentText">
    <w:name w:val="annotation text"/>
    <w:basedOn w:val="Normal"/>
    <w:link w:val="CommentTextChar"/>
    <w:uiPriority w:val="99"/>
    <w:semiHidden/>
    <w:unhideWhenUsed/>
    <w:rsid w:val="00346352"/>
    <w:pPr>
      <w:spacing w:line="240" w:lineRule="auto"/>
    </w:pPr>
    <w:rPr>
      <w:sz w:val="20"/>
      <w:szCs w:val="20"/>
    </w:rPr>
  </w:style>
  <w:style w:type="character" w:customStyle="1" w:styleId="CommentTextChar">
    <w:name w:val="Comment Text Char"/>
    <w:basedOn w:val="DefaultParagraphFont"/>
    <w:link w:val="CommentText"/>
    <w:uiPriority w:val="99"/>
    <w:semiHidden/>
    <w:rsid w:val="00346352"/>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346352"/>
    <w:rPr>
      <w:b/>
      <w:bCs/>
    </w:rPr>
  </w:style>
  <w:style w:type="character" w:customStyle="1" w:styleId="CommentSubjectChar">
    <w:name w:val="Comment Subject Char"/>
    <w:basedOn w:val="CommentTextChar"/>
    <w:link w:val="CommentSubject"/>
    <w:uiPriority w:val="99"/>
    <w:semiHidden/>
    <w:rsid w:val="00346352"/>
    <w:rPr>
      <w:rFonts w:ascii="Arial" w:eastAsia="Times New Roman" w:hAnsi="Arial"/>
      <w:b/>
      <w:bCs/>
      <w:lang w:val="en-GB"/>
    </w:rPr>
  </w:style>
  <w:style w:type="character" w:customStyle="1" w:styleId="normaltextrun">
    <w:name w:val="normaltextrun"/>
    <w:basedOn w:val="DefaultParagraphFont"/>
    <w:rsid w:val="00AD0632"/>
  </w:style>
  <w:style w:type="character" w:customStyle="1" w:styleId="eop">
    <w:name w:val="eop"/>
    <w:basedOn w:val="DefaultParagraphFont"/>
    <w:rsid w:val="00AD0632"/>
  </w:style>
  <w:style w:type="paragraph" w:styleId="Revision">
    <w:name w:val="Revision"/>
    <w:hidden/>
    <w:uiPriority w:val="99"/>
    <w:semiHidden/>
    <w:rsid w:val="00FD2A75"/>
    <w:rPr>
      <w:rFonts w:ascii="Arial" w:eastAsia="Times New Roman" w:hAnsi="Arial"/>
      <w:sz w:val="22"/>
      <w:szCs w:val="24"/>
      <w:lang w:val="en-GB"/>
    </w:rPr>
  </w:style>
  <w:style w:type="paragraph" w:styleId="Header">
    <w:name w:val="header"/>
    <w:basedOn w:val="Normal"/>
    <w:link w:val="HeaderChar"/>
    <w:semiHidden/>
    <w:unhideWhenUsed/>
    <w:rsid w:val="00D01D34"/>
    <w:pPr>
      <w:tabs>
        <w:tab w:val="center" w:pos="4513"/>
        <w:tab w:val="right" w:pos="9026"/>
      </w:tabs>
      <w:spacing w:after="0" w:line="240" w:lineRule="auto"/>
    </w:pPr>
  </w:style>
  <w:style w:type="character" w:customStyle="1" w:styleId="HeaderChar">
    <w:name w:val="Header Char"/>
    <w:basedOn w:val="DefaultParagraphFont"/>
    <w:link w:val="Header"/>
    <w:semiHidden/>
    <w:rsid w:val="00D01D34"/>
    <w:rPr>
      <w:rFonts w:ascii="Arial" w:eastAsia="Times New Roman" w:hAnsi="Arial"/>
      <w:sz w:val="22"/>
      <w:szCs w:val="24"/>
      <w:lang w:val="en-GB"/>
    </w:rPr>
  </w:style>
  <w:style w:type="character" w:styleId="FollowedHyperlink">
    <w:name w:val="FollowedHyperlink"/>
    <w:basedOn w:val="DefaultParagraphFont"/>
    <w:uiPriority w:val="99"/>
    <w:semiHidden/>
    <w:unhideWhenUsed/>
    <w:rsid w:val="00B31855"/>
    <w:rPr>
      <w:color w:val="800080" w:themeColor="followedHyperlink"/>
      <w:u w:val="single"/>
    </w:rPr>
  </w:style>
  <w:style w:type="character" w:styleId="Mention">
    <w:name w:val="Mention"/>
    <w:basedOn w:val="DefaultParagraphFont"/>
    <w:uiPriority w:val="99"/>
    <w:rsid w:val="00565E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7328">
      <w:bodyDiv w:val="1"/>
      <w:marLeft w:val="0"/>
      <w:marRight w:val="0"/>
      <w:marTop w:val="0"/>
      <w:marBottom w:val="0"/>
      <w:divBdr>
        <w:top w:val="none" w:sz="0" w:space="0" w:color="auto"/>
        <w:left w:val="none" w:sz="0" w:space="0" w:color="auto"/>
        <w:bottom w:val="none" w:sz="0" w:space="0" w:color="auto"/>
        <w:right w:val="none" w:sz="0" w:space="0" w:color="auto"/>
      </w:divBdr>
    </w:div>
    <w:div w:id="746852249">
      <w:bodyDiv w:val="1"/>
      <w:marLeft w:val="0"/>
      <w:marRight w:val="0"/>
      <w:marTop w:val="0"/>
      <w:marBottom w:val="0"/>
      <w:divBdr>
        <w:top w:val="none" w:sz="0" w:space="0" w:color="auto"/>
        <w:left w:val="none" w:sz="0" w:space="0" w:color="auto"/>
        <w:bottom w:val="none" w:sz="0" w:space="0" w:color="auto"/>
        <w:right w:val="none" w:sz="0" w:space="0" w:color="auto"/>
      </w:divBdr>
      <w:divsChild>
        <w:div w:id="530726470">
          <w:marLeft w:val="0"/>
          <w:marRight w:val="0"/>
          <w:marTop w:val="0"/>
          <w:marBottom w:val="450"/>
          <w:divBdr>
            <w:top w:val="none" w:sz="0" w:space="0" w:color="auto"/>
            <w:left w:val="none" w:sz="0" w:space="0" w:color="auto"/>
            <w:bottom w:val="none" w:sz="0" w:space="0" w:color="auto"/>
            <w:right w:val="none" w:sz="0" w:space="0" w:color="auto"/>
          </w:divBdr>
        </w:div>
      </w:divsChild>
    </w:div>
    <w:div w:id="1156608692">
      <w:bodyDiv w:val="1"/>
      <w:marLeft w:val="0"/>
      <w:marRight w:val="0"/>
      <w:marTop w:val="0"/>
      <w:marBottom w:val="0"/>
      <w:divBdr>
        <w:top w:val="none" w:sz="0" w:space="0" w:color="auto"/>
        <w:left w:val="none" w:sz="0" w:space="0" w:color="auto"/>
        <w:bottom w:val="none" w:sz="0" w:space="0" w:color="auto"/>
        <w:right w:val="none" w:sz="0" w:space="0" w:color="auto"/>
      </w:divBdr>
    </w:div>
    <w:div w:id="1357659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24L01257/asmade/text" TargetMode="External"/><Relationship Id="rId18" Type="http://schemas.openxmlformats.org/officeDocument/2006/relationships/hyperlink" Target="https://pwd.org.au/joint-position-statement-ndis-and-sexuality/" TargetMode="External"/><Relationship Id="rId26" Type="http://schemas.openxmlformats.org/officeDocument/2006/relationships/hyperlink" Target="https://www.austlii.edu.au/cgi-bin/viewdoc/au/cases/cth/FCA/2024/1462.html" TargetMode="External"/><Relationship Id="rId39" Type="http://schemas.openxmlformats.org/officeDocument/2006/relationships/hyperlink" Target="https://www.austlii.edu.au/cgi-bin/viewdoc/au/cases/cth/AATA/2024/741.html" TargetMode="External"/><Relationship Id="rId21" Type="http://schemas.openxmlformats.org/officeDocument/2006/relationships/hyperlink" Target="https://www.ndiscommission.gov.au/sites/default/files/2024-11/Reg-reform-roadmap.pdf" TargetMode="External"/><Relationship Id="rId34" Type="http://schemas.openxmlformats.org/officeDocument/2006/relationships/hyperlink" Target="https://www.austlii.edu.au/cgi-bin/viewdoc/au/cases/cth/AATA/2024/3034.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dis.gov.au/providers/pricing-arrangements" TargetMode="External"/><Relationship Id="rId20" Type="http://schemas.openxmlformats.org/officeDocument/2006/relationships/hyperlink" Target="https://www.art.gov.au/about-us/accountability-and-reporting/policies/publication-decisions-policy" TargetMode="External"/><Relationship Id="rId29" Type="http://schemas.openxmlformats.org/officeDocument/2006/relationships/hyperlink" Target="https://www.austlii.edu.au/cgi-bin/viewdoc/au/cases/cth/AATA/2024/3440.html" TargetMode="External"/><Relationship Id="rId41" Type="http://schemas.openxmlformats.org/officeDocument/2006/relationships/hyperlink" Target="https://www.austlii.edu.au/cgi-bin/viewdoc/au/cases/cth/AATA/2024/33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review.gov.au/resources/reports/working-together-deliver-ndis" TargetMode="External"/><Relationship Id="rId24" Type="http://schemas.openxmlformats.org/officeDocument/2006/relationships/hyperlink" Target="https://www.dss.gov.au/responding-disability-royal-commission/australian-government-response-disability-royal-commission" TargetMode="External"/><Relationship Id="rId32" Type="http://schemas.openxmlformats.org/officeDocument/2006/relationships/hyperlink" Target="https://www.austlii.edu.au/cgi-bin/viewdoc/au/cases/cth/AATA/2024/2277.html" TargetMode="External"/><Relationship Id="rId37" Type="http://schemas.openxmlformats.org/officeDocument/2006/relationships/hyperlink" Target="https://www.austlii.edu.au/cgi-bin/viewdoc/au/cases/cth/AATA/2024/805.html" TargetMode="External"/><Relationship Id="rId40" Type="http://schemas.openxmlformats.org/officeDocument/2006/relationships/hyperlink" Target="https://www.austlii.edu.au/cgi-bin/viewdoc/au/cases/cth/AATA/2024/3275.html" TargetMode="External"/><Relationship Id="rId5" Type="http://schemas.openxmlformats.org/officeDocument/2006/relationships/numbering" Target="numbering.xml"/><Relationship Id="rId15" Type="http://schemas.openxmlformats.org/officeDocument/2006/relationships/hyperlink" Target="https://ministers.dss.gov.au/media-releases/17331" TargetMode="External"/><Relationship Id="rId23" Type="http://schemas.openxmlformats.org/officeDocument/2006/relationships/hyperlink" Target="https://www.accc.gov.au/media-release/ndis-providers-put-on-notice-about-consequences-of-misleading-advertising" TargetMode="External"/><Relationship Id="rId28" Type="http://schemas.openxmlformats.org/officeDocument/2006/relationships/hyperlink" Target="https://www.austlii.edu.au/cgi-bin/viewdoc/au/cases/cth/AATA/2024/1057.html" TargetMode="External"/><Relationship Id="rId36" Type="http://schemas.openxmlformats.org/officeDocument/2006/relationships/hyperlink" Target="https://www.austlii.edu.au/cgi-bin/viewdoc/au/cases/cth/AATA/2024/3399.html" TargetMode="External"/><Relationship Id="rId10" Type="http://schemas.openxmlformats.org/officeDocument/2006/relationships/endnotes" Target="endnotes.xml"/><Relationship Id="rId19" Type="http://schemas.openxmlformats.org/officeDocument/2006/relationships/hyperlink" Target="https://jec.org.au/disability-rights/a-fairer-ndis/explainer-ndis-insights-2023-24/" TargetMode="External"/><Relationship Id="rId31" Type="http://schemas.openxmlformats.org/officeDocument/2006/relationships/hyperlink" Target="https://www.austlii.edu.au/cgi-bin/viewdoc/au/cases/cth/AATA/2024/72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ryaustraliancounts.com.au/eac/take-the-time-for-codesign-254-organisations-demand-more-time-to-codesign-ndis-reforms/" TargetMode="External"/><Relationship Id="rId22" Type="http://schemas.openxmlformats.org/officeDocument/2006/relationships/hyperlink" Target="https://www.accc.gov.au/about-us/accc-priorities/compliance-and-enforcement-priorities" TargetMode="External"/><Relationship Id="rId27" Type="http://schemas.openxmlformats.org/officeDocument/2006/relationships/hyperlink" Target="https://www.austlii.edu.au/cgi-bin/viewdoc/au/cases/cth/FCA/2022/1002.html" TargetMode="External"/><Relationship Id="rId30" Type="http://schemas.openxmlformats.org/officeDocument/2006/relationships/hyperlink" Target="https://www.austlii.edu.au/cgi-bin/viewdoc/au/cases/cth/AATA/2024/3595.html" TargetMode="External"/><Relationship Id="rId35" Type="http://schemas.openxmlformats.org/officeDocument/2006/relationships/hyperlink" Target="https://www.austlii.edu.au/cgi-bin/viewdoc/au/cases/cth/AATA/2024/3310.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arlinfo.aph.gov.au/parlInfo/search/display/display.w3p;query=Id:%22legislation/bills/r7181_aspassed/0000%22" TargetMode="External"/><Relationship Id="rId17" Type="http://schemas.openxmlformats.org/officeDocument/2006/relationships/hyperlink" Target="https://pwd.org.au/joint-statement-ten-organisations-call-for-people-with-disabilitys-access-to-ndis-funded-sexuality-services-to-be-protected/" TargetMode="External"/><Relationship Id="rId25" Type="http://schemas.openxmlformats.org/officeDocument/2006/relationships/hyperlink" Target="https://www.austlii.edu.au/cgi-bin/viewdoc/au/cases/cth/FCA/2024/616.html" TargetMode="External"/><Relationship Id="rId33" Type="http://schemas.openxmlformats.org/officeDocument/2006/relationships/hyperlink" Target="https://www.austlii.edu.au/cgi-bin/viewdoc/au/cases/cth/AATA/2024/2889.html" TargetMode="External"/><Relationship Id="rId38" Type="http://schemas.openxmlformats.org/officeDocument/2006/relationships/hyperlink" Target="https://www.austlii.edu.au/cgi-bin/viewdoc/au/cases/cth/AATA/2024/30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iac.sharepoint.com/sites/Templatedeployment/PIAC%20templates/JE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FC83580F7384FA309DE888A26052B" ma:contentTypeVersion="17" ma:contentTypeDescription="Create a new document." ma:contentTypeScope="" ma:versionID="c92358a4f8ac27a31464ccfd1a013fdc">
  <xsd:schema xmlns:xsd="http://www.w3.org/2001/XMLSchema" xmlns:xs="http://www.w3.org/2001/XMLSchema" xmlns:p="http://schemas.microsoft.com/office/2006/metadata/properties" xmlns:ns2="aabd8f6d-4b33-4ba1-9248-1587b4996363" xmlns:ns3="cb51ffd8-9bce-4f79-9196-a66e1b217d6e" targetNamespace="http://schemas.microsoft.com/office/2006/metadata/properties" ma:root="true" ma:fieldsID="c26860af727c9e066e3f32503916ebf6" ns2:_="" ns3:_="">
    <xsd:import namespace="aabd8f6d-4b33-4ba1-9248-1587b4996363"/>
    <xsd:import namespace="cb51ffd8-9bce-4f79-9196-a66e1b217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d8f6d-4b33-4ba1-9248-1587b4996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19c5af-87de-4962-8a8a-7fc1e38bb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1ffd8-9bce-4f79-9196-a66e1b217d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bb61fb-b64f-459a-afc7-a46943f6c2ca}" ma:internalName="TaxCatchAll" ma:showField="CatchAllData" ma:web="cb51ffd8-9bce-4f79-9196-a66e1b217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b51ffd8-9bce-4f79-9196-a66e1b217d6e">
      <UserInfo>
        <DisplayName/>
        <AccountId xsi:nil="true"/>
        <AccountType/>
      </UserInfo>
    </SharedWithUsers>
    <lcf76f155ced4ddcb4097134ff3c332f xmlns="aabd8f6d-4b33-4ba1-9248-1587b4996363">
      <Terms xmlns="http://schemas.microsoft.com/office/infopath/2007/PartnerControls"/>
    </lcf76f155ced4ddcb4097134ff3c332f>
    <TaxCatchAll xmlns="cb51ffd8-9bce-4f79-9196-a66e1b217d6e" xsi:nil="true"/>
  </documentManagement>
</p:properties>
</file>

<file path=customXml/itemProps1.xml><?xml version="1.0" encoding="utf-8"?>
<ds:datastoreItem xmlns:ds="http://schemas.openxmlformats.org/officeDocument/2006/customXml" ds:itemID="{D392A509-3E3C-4031-83DB-D5F517D55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d8f6d-4b33-4ba1-9248-1587b4996363"/>
    <ds:schemaRef ds:uri="cb51ffd8-9bce-4f79-9196-a66e1b217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F4D3C-3FC9-46A7-945E-4AEB6D9DC893}">
  <ds:schemaRefs>
    <ds:schemaRef ds:uri="http://schemas.microsoft.com/sharepoint/v3/contenttype/forms"/>
  </ds:schemaRefs>
</ds:datastoreItem>
</file>

<file path=customXml/itemProps3.xml><?xml version="1.0" encoding="utf-8"?>
<ds:datastoreItem xmlns:ds="http://schemas.openxmlformats.org/officeDocument/2006/customXml" ds:itemID="{C324D0FC-1E53-E741-87E7-AD7B38091C98}">
  <ds:schemaRefs>
    <ds:schemaRef ds:uri="http://schemas.openxmlformats.org/officeDocument/2006/bibliography"/>
  </ds:schemaRefs>
</ds:datastoreItem>
</file>

<file path=customXml/itemProps4.xml><?xml version="1.0" encoding="utf-8"?>
<ds:datastoreItem xmlns:ds="http://schemas.openxmlformats.org/officeDocument/2006/customXml" ds:itemID="{E18A888C-C1FE-4F90-B7D1-BD99DFF6D309}">
  <ds:schemaRefs>
    <ds:schemaRef ds:uri="http://schemas.microsoft.com/office/2006/metadata/properties"/>
    <ds:schemaRef ds:uri="http://schemas.microsoft.com/office/infopath/2007/PartnerControls"/>
    <ds:schemaRef ds:uri="cb51ffd8-9bce-4f79-9196-a66e1b217d6e"/>
    <ds:schemaRef ds:uri="aabd8f6d-4b33-4ba1-9248-1587b4996363"/>
  </ds:schemaRefs>
</ds:datastoreItem>
</file>

<file path=docProps/app.xml><?xml version="1.0" encoding="utf-8"?>
<Properties xmlns="http://schemas.openxmlformats.org/officeDocument/2006/extended-properties" xmlns:vt="http://schemas.openxmlformats.org/officeDocument/2006/docPropsVTypes">
  <Template>JEC%20blank%20document.dotx</Template>
  <TotalTime>3</TotalTime>
  <Pages>16</Pages>
  <Words>7163</Words>
  <Characters>40833</Characters>
  <Application>Microsoft Office Word</Application>
  <DocSecurity>0</DocSecurity>
  <Lines>340</Lines>
  <Paragraphs>95</Paragraphs>
  <ScaleCrop>false</ScaleCrop>
  <Company>Public Interest Advocacy Centre</Company>
  <LinksUpToDate>false</LinksUpToDate>
  <CharactersWithSpaces>47901</CharactersWithSpaces>
  <SharedDoc>false</SharedDoc>
  <HLinks>
    <vt:vector size="174" baseType="variant">
      <vt:variant>
        <vt:i4>3932192</vt:i4>
      </vt:variant>
      <vt:variant>
        <vt:i4>84</vt:i4>
      </vt:variant>
      <vt:variant>
        <vt:i4>0</vt:i4>
      </vt:variant>
      <vt:variant>
        <vt:i4>5</vt:i4>
      </vt:variant>
      <vt:variant>
        <vt:lpwstr>https://www.austlii.edu.au/cgi-bin/viewdoc/au/cases/cth/AATA/2024/3318.html</vt:lpwstr>
      </vt:variant>
      <vt:variant>
        <vt:lpwstr/>
      </vt:variant>
      <vt:variant>
        <vt:i4>3145766</vt:i4>
      </vt:variant>
      <vt:variant>
        <vt:i4>81</vt:i4>
      </vt:variant>
      <vt:variant>
        <vt:i4>0</vt:i4>
      </vt:variant>
      <vt:variant>
        <vt:i4>5</vt:i4>
      </vt:variant>
      <vt:variant>
        <vt:lpwstr>https://www.austlii.edu.au/cgi-bin/viewdoc/au/cases/cth/AATA/2024/3275.html</vt:lpwstr>
      </vt:variant>
      <vt:variant>
        <vt:lpwstr/>
      </vt:variant>
      <vt:variant>
        <vt:i4>3145851</vt:i4>
      </vt:variant>
      <vt:variant>
        <vt:i4>78</vt:i4>
      </vt:variant>
      <vt:variant>
        <vt:i4>0</vt:i4>
      </vt:variant>
      <vt:variant>
        <vt:i4>5</vt:i4>
      </vt:variant>
      <vt:variant>
        <vt:lpwstr>https://www.austlii.edu.au/cgi-bin/viewdoc/au/cases/cth/AATA/2024/741.html</vt:lpwstr>
      </vt:variant>
      <vt:variant>
        <vt:lpwstr/>
      </vt:variant>
      <vt:variant>
        <vt:i4>3407994</vt:i4>
      </vt:variant>
      <vt:variant>
        <vt:i4>75</vt:i4>
      </vt:variant>
      <vt:variant>
        <vt:i4>0</vt:i4>
      </vt:variant>
      <vt:variant>
        <vt:i4>5</vt:i4>
      </vt:variant>
      <vt:variant>
        <vt:lpwstr>https://www.austlii.edu.au/cgi-bin/viewdoc/au/cases/cth/AATA/2024/304.html</vt:lpwstr>
      </vt:variant>
      <vt:variant>
        <vt:lpwstr/>
      </vt:variant>
      <vt:variant>
        <vt:i4>3407984</vt:i4>
      </vt:variant>
      <vt:variant>
        <vt:i4>72</vt:i4>
      </vt:variant>
      <vt:variant>
        <vt:i4>0</vt:i4>
      </vt:variant>
      <vt:variant>
        <vt:i4>5</vt:i4>
      </vt:variant>
      <vt:variant>
        <vt:lpwstr>https://www.austlii.edu.au/cgi-bin/viewdoc/au/cases/cth/AATA/2024/805.html</vt:lpwstr>
      </vt:variant>
      <vt:variant>
        <vt:lpwstr/>
      </vt:variant>
      <vt:variant>
        <vt:i4>3997736</vt:i4>
      </vt:variant>
      <vt:variant>
        <vt:i4>69</vt:i4>
      </vt:variant>
      <vt:variant>
        <vt:i4>0</vt:i4>
      </vt:variant>
      <vt:variant>
        <vt:i4>5</vt:i4>
      </vt:variant>
      <vt:variant>
        <vt:lpwstr>https://www.austlii.edu.au/cgi-bin/viewdoc/au/cases/cth/AATA/2024/3399.html</vt:lpwstr>
      </vt:variant>
      <vt:variant>
        <vt:lpwstr/>
      </vt:variant>
      <vt:variant>
        <vt:i4>3407904</vt:i4>
      </vt:variant>
      <vt:variant>
        <vt:i4>66</vt:i4>
      </vt:variant>
      <vt:variant>
        <vt:i4>0</vt:i4>
      </vt:variant>
      <vt:variant>
        <vt:i4>5</vt:i4>
      </vt:variant>
      <vt:variant>
        <vt:lpwstr>https://www.austlii.edu.au/cgi-bin/viewdoc/au/cases/cth/AATA/2024/3310.html</vt:lpwstr>
      </vt:variant>
      <vt:variant>
        <vt:lpwstr/>
      </vt:variant>
      <vt:variant>
        <vt:i4>3342370</vt:i4>
      </vt:variant>
      <vt:variant>
        <vt:i4>63</vt:i4>
      </vt:variant>
      <vt:variant>
        <vt:i4>0</vt:i4>
      </vt:variant>
      <vt:variant>
        <vt:i4>5</vt:i4>
      </vt:variant>
      <vt:variant>
        <vt:lpwstr>https://www.austlii.edu.au/cgi-bin/viewdoc/au/cases/cth/AATA/2024/3034.html</vt:lpwstr>
      </vt:variant>
      <vt:variant>
        <vt:lpwstr/>
      </vt:variant>
      <vt:variant>
        <vt:i4>3538984</vt:i4>
      </vt:variant>
      <vt:variant>
        <vt:i4>60</vt:i4>
      </vt:variant>
      <vt:variant>
        <vt:i4>0</vt:i4>
      </vt:variant>
      <vt:variant>
        <vt:i4>5</vt:i4>
      </vt:variant>
      <vt:variant>
        <vt:lpwstr>https://www.austlii.edu.au/cgi-bin/viewdoc/au/cases/cth/AATA/2024/2889.html</vt:lpwstr>
      </vt:variant>
      <vt:variant>
        <vt:lpwstr/>
      </vt:variant>
      <vt:variant>
        <vt:i4>3276839</vt:i4>
      </vt:variant>
      <vt:variant>
        <vt:i4>57</vt:i4>
      </vt:variant>
      <vt:variant>
        <vt:i4>0</vt:i4>
      </vt:variant>
      <vt:variant>
        <vt:i4>5</vt:i4>
      </vt:variant>
      <vt:variant>
        <vt:lpwstr>https://www.austlii.edu.au/cgi-bin/viewdoc/au/cases/cth/AATA/2024/2277.html</vt:lpwstr>
      </vt:variant>
      <vt:variant>
        <vt:lpwstr/>
      </vt:variant>
      <vt:variant>
        <vt:i4>3539071</vt:i4>
      </vt:variant>
      <vt:variant>
        <vt:i4>54</vt:i4>
      </vt:variant>
      <vt:variant>
        <vt:i4>0</vt:i4>
      </vt:variant>
      <vt:variant>
        <vt:i4>5</vt:i4>
      </vt:variant>
      <vt:variant>
        <vt:lpwstr>https://www.austlii.edu.au/cgi-bin/viewdoc/au/cases/cth/AATA/2024/725.html</vt:lpwstr>
      </vt:variant>
      <vt:variant>
        <vt:lpwstr/>
      </vt:variant>
      <vt:variant>
        <vt:i4>3604520</vt:i4>
      </vt:variant>
      <vt:variant>
        <vt:i4>51</vt:i4>
      </vt:variant>
      <vt:variant>
        <vt:i4>0</vt:i4>
      </vt:variant>
      <vt:variant>
        <vt:i4>5</vt:i4>
      </vt:variant>
      <vt:variant>
        <vt:lpwstr>https://www.austlii.edu.au/cgi-bin/viewdoc/au/cases/cth/AATA/2024/3595.html</vt:lpwstr>
      </vt:variant>
      <vt:variant>
        <vt:lpwstr/>
      </vt:variant>
      <vt:variant>
        <vt:i4>3342373</vt:i4>
      </vt:variant>
      <vt:variant>
        <vt:i4>48</vt:i4>
      </vt:variant>
      <vt:variant>
        <vt:i4>0</vt:i4>
      </vt:variant>
      <vt:variant>
        <vt:i4>5</vt:i4>
      </vt:variant>
      <vt:variant>
        <vt:lpwstr>https://www.austlii.edu.au/cgi-bin/viewdoc/au/cases/cth/AATA/2024/3440.html</vt:lpwstr>
      </vt:variant>
      <vt:variant>
        <vt:lpwstr/>
      </vt:variant>
      <vt:variant>
        <vt:i4>3145766</vt:i4>
      </vt:variant>
      <vt:variant>
        <vt:i4>45</vt:i4>
      </vt:variant>
      <vt:variant>
        <vt:i4>0</vt:i4>
      </vt:variant>
      <vt:variant>
        <vt:i4>5</vt:i4>
      </vt:variant>
      <vt:variant>
        <vt:lpwstr>https://www.austlii.edu.au/cgi-bin/viewdoc/au/cases/cth/AATA/2024/1057.html</vt:lpwstr>
      </vt:variant>
      <vt:variant>
        <vt:lpwstr/>
      </vt:variant>
      <vt:variant>
        <vt:i4>6553705</vt:i4>
      </vt:variant>
      <vt:variant>
        <vt:i4>42</vt:i4>
      </vt:variant>
      <vt:variant>
        <vt:i4>0</vt:i4>
      </vt:variant>
      <vt:variant>
        <vt:i4>5</vt:i4>
      </vt:variant>
      <vt:variant>
        <vt:lpwstr>https://www.austlii.edu.au/cgi-bin/viewdoc/au/cases/cth/FCA/2022/1002.html</vt:lpwstr>
      </vt:variant>
      <vt:variant>
        <vt:lpwstr/>
      </vt:variant>
      <vt:variant>
        <vt:i4>6553709</vt:i4>
      </vt:variant>
      <vt:variant>
        <vt:i4>39</vt:i4>
      </vt:variant>
      <vt:variant>
        <vt:i4>0</vt:i4>
      </vt:variant>
      <vt:variant>
        <vt:i4>5</vt:i4>
      </vt:variant>
      <vt:variant>
        <vt:lpwstr>https://www.austlii.edu.au/cgi-bin/viewdoc/au/cases/cth/FCA/2024/1462.html</vt:lpwstr>
      </vt:variant>
      <vt:variant>
        <vt:lpwstr/>
      </vt:variant>
      <vt:variant>
        <vt:i4>5242885</vt:i4>
      </vt:variant>
      <vt:variant>
        <vt:i4>36</vt:i4>
      </vt:variant>
      <vt:variant>
        <vt:i4>0</vt:i4>
      </vt:variant>
      <vt:variant>
        <vt:i4>5</vt:i4>
      </vt:variant>
      <vt:variant>
        <vt:lpwstr>https://www.austlii.edu.au/cgi-bin/viewdoc/au/cases/cth/FCA/2024/616.html</vt:lpwstr>
      </vt:variant>
      <vt:variant>
        <vt:lpwstr/>
      </vt:variant>
      <vt:variant>
        <vt:i4>720896</vt:i4>
      </vt:variant>
      <vt:variant>
        <vt:i4>33</vt:i4>
      </vt:variant>
      <vt:variant>
        <vt:i4>0</vt:i4>
      </vt:variant>
      <vt:variant>
        <vt:i4>5</vt:i4>
      </vt:variant>
      <vt:variant>
        <vt:lpwstr>https://www.dss.gov.au/responding-disability-royal-commission/australian-government-response-disability-royal-commission</vt:lpwstr>
      </vt:variant>
      <vt:variant>
        <vt:lpwstr/>
      </vt:variant>
      <vt:variant>
        <vt:i4>2818098</vt:i4>
      </vt:variant>
      <vt:variant>
        <vt:i4>30</vt:i4>
      </vt:variant>
      <vt:variant>
        <vt:i4>0</vt:i4>
      </vt:variant>
      <vt:variant>
        <vt:i4>5</vt:i4>
      </vt:variant>
      <vt:variant>
        <vt:lpwstr>https://www.accc.gov.au/media-release/ndis-providers-put-on-notice-about-consequences-of-misleading-advertising</vt:lpwstr>
      </vt:variant>
      <vt:variant>
        <vt:lpwstr/>
      </vt:variant>
      <vt:variant>
        <vt:i4>3342378</vt:i4>
      </vt:variant>
      <vt:variant>
        <vt:i4>27</vt:i4>
      </vt:variant>
      <vt:variant>
        <vt:i4>0</vt:i4>
      </vt:variant>
      <vt:variant>
        <vt:i4>5</vt:i4>
      </vt:variant>
      <vt:variant>
        <vt:lpwstr>https://www.accc.gov.au/about-us/accc-priorities/compliance-and-enforcement-priorities</vt:lpwstr>
      </vt:variant>
      <vt:variant>
        <vt:lpwstr/>
      </vt:variant>
      <vt:variant>
        <vt:i4>1835082</vt:i4>
      </vt:variant>
      <vt:variant>
        <vt:i4>24</vt:i4>
      </vt:variant>
      <vt:variant>
        <vt:i4>0</vt:i4>
      </vt:variant>
      <vt:variant>
        <vt:i4>5</vt:i4>
      </vt:variant>
      <vt:variant>
        <vt:lpwstr>https://www.ndiscommission.gov.au/sites/default/files/2024-11/Reg-reform-roadmap.pdf</vt:lpwstr>
      </vt:variant>
      <vt:variant>
        <vt:lpwstr/>
      </vt:variant>
      <vt:variant>
        <vt:i4>2162813</vt:i4>
      </vt:variant>
      <vt:variant>
        <vt:i4>21</vt:i4>
      </vt:variant>
      <vt:variant>
        <vt:i4>0</vt:i4>
      </vt:variant>
      <vt:variant>
        <vt:i4>5</vt:i4>
      </vt:variant>
      <vt:variant>
        <vt:lpwstr>https://www.art.gov.au/about-us/accountability-and-reporting/policies/publication-decisions-policy</vt:lpwstr>
      </vt:variant>
      <vt:variant>
        <vt:lpwstr/>
      </vt:variant>
      <vt:variant>
        <vt:i4>3604579</vt:i4>
      </vt:variant>
      <vt:variant>
        <vt:i4>18</vt:i4>
      </vt:variant>
      <vt:variant>
        <vt:i4>0</vt:i4>
      </vt:variant>
      <vt:variant>
        <vt:i4>5</vt:i4>
      </vt:variant>
      <vt:variant>
        <vt:lpwstr>https://jec.org.au/disability-rights/a-fairer-ndis/explainer-ndis-insights-2023-24/</vt:lpwstr>
      </vt:variant>
      <vt:variant>
        <vt:lpwstr/>
      </vt:variant>
      <vt:variant>
        <vt:i4>7012387</vt:i4>
      </vt:variant>
      <vt:variant>
        <vt:i4>15</vt:i4>
      </vt:variant>
      <vt:variant>
        <vt:i4>0</vt:i4>
      </vt:variant>
      <vt:variant>
        <vt:i4>5</vt:i4>
      </vt:variant>
      <vt:variant>
        <vt:lpwstr>https://www.ndis.gov.au/providers/pricing-arrangements</vt:lpwstr>
      </vt:variant>
      <vt:variant>
        <vt:lpwstr/>
      </vt:variant>
      <vt:variant>
        <vt:i4>589901</vt:i4>
      </vt:variant>
      <vt:variant>
        <vt:i4>12</vt:i4>
      </vt:variant>
      <vt:variant>
        <vt:i4>0</vt:i4>
      </vt:variant>
      <vt:variant>
        <vt:i4>5</vt:i4>
      </vt:variant>
      <vt:variant>
        <vt:lpwstr>https://ministers.dss.gov.au/media-releases/17331</vt:lpwstr>
      </vt:variant>
      <vt:variant>
        <vt:lpwstr/>
      </vt:variant>
      <vt:variant>
        <vt:i4>2621501</vt:i4>
      </vt:variant>
      <vt:variant>
        <vt:i4>9</vt:i4>
      </vt:variant>
      <vt:variant>
        <vt:i4>0</vt:i4>
      </vt:variant>
      <vt:variant>
        <vt:i4>5</vt:i4>
      </vt:variant>
      <vt:variant>
        <vt:lpwstr>https://www.legislation.gov.au/F2024L01257/asmade/text</vt:lpwstr>
      </vt:variant>
      <vt:variant>
        <vt:lpwstr/>
      </vt:variant>
      <vt:variant>
        <vt:i4>6619220</vt:i4>
      </vt:variant>
      <vt:variant>
        <vt:i4>6</vt:i4>
      </vt:variant>
      <vt:variant>
        <vt:i4>0</vt:i4>
      </vt:variant>
      <vt:variant>
        <vt:i4>5</vt:i4>
      </vt:variant>
      <vt:variant>
        <vt:lpwstr>https://parlinfo.aph.gov.au/parlInfo/search/display/display.w3p;query=Id:%22legislation/bills/r7181_aspassed/0000%22</vt:lpwstr>
      </vt:variant>
      <vt:variant>
        <vt:lpwstr/>
      </vt:variant>
      <vt:variant>
        <vt:i4>4456543</vt:i4>
      </vt:variant>
      <vt:variant>
        <vt:i4>3</vt:i4>
      </vt:variant>
      <vt:variant>
        <vt:i4>0</vt:i4>
      </vt:variant>
      <vt:variant>
        <vt:i4>5</vt:i4>
      </vt:variant>
      <vt:variant>
        <vt:lpwstr>https://www.ndisreview.gov.au/resources/reports/working-together-deliver-ndis</vt:lpwstr>
      </vt:variant>
      <vt:variant>
        <vt:lpwstr/>
      </vt:variant>
      <vt:variant>
        <vt:i4>7340056</vt:i4>
      </vt:variant>
      <vt:variant>
        <vt:i4>0</vt:i4>
      </vt:variant>
      <vt:variant>
        <vt:i4>0</vt:i4>
      </vt:variant>
      <vt:variant>
        <vt:i4>5</vt:i4>
      </vt:variant>
      <vt:variant>
        <vt:lpwstr>mailto:sbalakrishnan@jec.org.au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Balakrishnan</dc:creator>
  <cp:keywords/>
  <cp:lastModifiedBy>Dan Buhagiar</cp:lastModifiedBy>
  <cp:revision>4</cp:revision>
  <dcterms:created xsi:type="dcterms:W3CDTF">2025-02-14T04:11:00Z</dcterms:created>
  <dcterms:modified xsi:type="dcterms:W3CDTF">2025-02-18T04:34:00Z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0x0101002BFFC83580F7384FA309DE888A26052B</vt:lpwstr>
  </property>
  <property fmtid="{D5CDD505-2E9C-101B-9397-08002B2CF9AE}" pid="3" name="MediaServiceImageTags">
    <vt:lpwstr/>
  </property>
  <property fmtid="{D5CDD505-2E9C-101B-9397-08002B2CF9AE}" pid="4" name="Order">
    <vt:r8>6758700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