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CBD1C" w14:textId="192D9926" w:rsidR="00966B96" w:rsidRDefault="00C82252" w:rsidP="00D924C7">
      <w:r w:rsidRPr="00D924C7">
        <w:t>1</w:t>
      </w:r>
      <w:r w:rsidR="00657F9B" w:rsidRPr="00D924C7">
        <w:t xml:space="preserve"> </w:t>
      </w:r>
      <w:r w:rsidRPr="00D924C7">
        <w:t>December</w:t>
      </w:r>
      <w:r w:rsidR="00657F9B" w:rsidRPr="00D924C7">
        <w:t xml:space="preserve"> 2020</w:t>
      </w:r>
    </w:p>
    <w:p w14:paraId="6D3FDD65" w14:textId="77777777" w:rsidR="00966B96" w:rsidRDefault="00966B96" w:rsidP="00D924C7"/>
    <w:p w14:paraId="461D6034" w14:textId="77777777" w:rsidR="00966B96" w:rsidRDefault="00966B96" w:rsidP="00D924C7"/>
    <w:p w14:paraId="7000961C" w14:textId="77777777" w:rsidR="00966B96" w:rsidRDefault="00966B96" w:rsidP="00D924C7"/>
    <w:p w14:paraId="618BAD9A" w14:textId="77777777" w:rsidR="00966B96" w:rsidRDefault="00966B96" w:rsidP="00D924C7"/>
    <w:p w14:paraId="468FC97B" w14:textId="77777777" w:rsidR="00966B96" w:rsidRDefault="00966B96" w:rsidP="00D924C7"/>
    <w:p w14:paraId="15315A0A" w14:textId="77777777" w:rsidR="00966B96" w:rsidRDefault="00B90D78" w:rsidP="00D924C7">
      <w:r>
        <w:t>Emily Brodie</w:t>
      </w:r>
    </w:p>
    <w:p w14:paraId="2157E9C2" w14:textId="77777777" w:rsidR="00B90D78" w:rsidRDefault="00B90D78">
      <w:r w:rsidRPr="00B90D78">
        <w:t>WDR Stakeholder Engagement Lead</w:t>
      </w:r>
    </w:p>
    <w:p w14:paraId="44AF6CD3" w14:textId="77777777" w:rsidR="00966B96" w:rsidRDefault="00657F9B">
      <w:r>
        <w:t>Australian Energy Market Operator</w:t>
      </w:r>
      <w:bookmarkStart w:id="0" w:name="_GoBack"/>
      <w:bookmarkEnd w:id="0"/>
    </w:p>
    <w:p w14:paraId="18EEC115" w14:textId="77777777" w:rsidR="00966B96" w:rsidRDefault="00966B96"/>
    <w:p w14:paraId="1A7201B9" w14:textId="77777777" w:rsidR="00B90D78" w:rsidRDefault="00B90D78"/>
    <w:p w14:paraId="22B8C770" w14:textId="77777777" w:rsidR="00657F9B" w:rsidRPr="00B90D78" w:rsidRDefault="00657F9B">
      <w:pPr>
        <w:rPr>
          <w:i/>
        </w:rPr>
      </w:pPr>
      <w:r w:rsidRPr="00B90D78">
        <w:rPr>
          <w:i/>
        </w:rPr>
        <w:t xml:space="preserve">Submitted via email to </w:t>
      </w:r>
      <w:hyperlink r:id="rId8" w:history="1">
        <w:r w:rsidR="00B90D78" w:rsidRPr="00B90D78">
          <w:rPr>
            <w:rStyle w:val="Hyperlink"/>
            <w:i/>
          </w:rPr>
          <w:t>wdr@aemo.com.au</w:t>
        </w:r>
      </w:hyperlink>
      <w:r w:rsidR="00B90D78" w:rsidRPr="00B90D78">
        <w:rPr>
          <w:i/>
        </w:rPr>
        <w:t xml:space="preserve"> </w:t>
      </w:r>
    </w:p>
    <w:p w14:paraId="25C7D421" w14:textId="77777777" w:rsidR="00966B96" w:rsidRDefault="00966B96" w:rsidP="00D924C7"/>
    <w:p w14:paraId="7E21B18E" w14:textId="77777777" w:rsidR="00966B96" w:rsidRDefault="00966B96" w:rsidP="00D924C7"/>
    <w:p w14:paraId="6DA57DEF" w14:textId="77777777" w:rsidR="00966B96" w:rsidRDefault="00966B96" w:rsidP="00D924C7"/>
    <w:p w14:paraId="00DD22A7" w14:textId="77777777" w:rsidR="00966B96" w:rsidRDefault="00966B96" w:rsidP="00966B96">
      <w:r>
        <w:t xml:space="preserve">Dear </w:t>
      </w:r>
      <w:r w:rsidR="00B90D78">
        <w:t xml:space="preserve">Ms Brodie, </w:t>
      </w:r>
    </w:p>
    <w:p w14:paraId="3E8718A4" w14:textId="77777777" w:rsidR="00966B96" w:rsidRDefault="00B90D78" w:rsidP="00966B96">
      <w:pPr>
        <w:pStyle w:val="Heading1"/>
      </w:pPr>
      <w:r>
        <w:t xml:space="preserve">Wholesale Demand Response Guideline Issues Paper </w:t>
      </w:r>
    </w:p>
    <w:p w14:paraId="5FC9195A" w14:textId="77777777" w:rsidR="00966B96" w:rsidRDefault="00BE4091" w:rsidP="00966B96">
      <w:r w:rsidRPr="00BE4091">
        <w:t>The Public Interest Advocacy Centre (PIAC) is an independent, non-profit legal centre based in New South Wales. Established in 1982, PIAC tackles systemic issues that have a significant impact upon people who are marginalised and facing disadvantage. We ensure basic rights are enjoyed across the community through litigation, public policy development, communication and training. The Energy + Water Consumers’ Advocacy Program represents the interests of low-income and other residential consumers, developing policy and advocating in energy and water markets.</w:t>
      </w:r>
    </w:p>
    <w:p w14:paraId="40DE8BD4" w14:textId="77777777" w:rsidR="00BE4091" w:rsidRDefault="00BE4091" w:rsidP="00966B96"/>
    <w:p w14:paraId="34A720B4" w14:textId="77777777" w:rsidR="00FA74E3" w:rsidRDefault="00FA74E3" w:rsidP="00966B96">
      <w:r>
        <w:t xml:space="preserve">PIAC welcomes the opportunity to respond to Australian Energy Market Operator’s (AEMO) issues paper on the Wholesale Demand Response (WDR) Guidelines (the Guidelines).  </w:t>
      </w:r>
    </w:p>
    <w:p w14:paraId="0A9E6752" w14:textId="77777777" w:rsidR="00906FEC" w:rsidRDefault="00906FEC" w:rsidP="00966B96"/>
    <w:p w14:paraId="79EE64AA" w14:textId="10E095C9" w:rsidR="00906FEC" w:rsidRDefault="7CEC2BC4" w:rsidP="00966B96">
      <w:r>
        <w:t xml:space="preserve">Wholesale demand response benefits energy consumers at a system and individual level as well as the broader community by reducing emissions and helping with the transition of the energy system. While relatively minor </w:t>
      </w:r>
      <w:r w:rsidR="00B67AA1">
        <w:t xml:space="preserve">at </w:t>
      </w:r>
      <w:r>
        <w:t xml:space="preserve">the outset, the value to consumers and the market of demand response will grow as the WDR mechanism is established and matures. These benefits and AEMO’s role in realising them through the design and operation of the WDR market should be reflected in the Guidelines. </w:t>
      </w:r>
    </w:p>
    <w:p w14:paraId="4998D095" w14:textId="77777777" w:rsidR="00FA74E3" w:rsidRDefault="00FA74E3" w:rsidP="00966B96"/>
    <w:p w14:paraId="7B0D1AEF" w14:textId="6F60662A" w:rsidR="00D37D2B" w:rsidRDefault="005A14BC" w:rsidP="00966B96">
      <w:r>
        <w:t xml:space="preserve">We provide feedback on </w:t>
      </w:r>
      <w:r w:rsidR="00906FEC">
        <w:t>principles,</w:t>
      </w:r>
      <w:r w:rsidR="00D37D2B">
        <w:t xml:space="preserve"> system security, telemetry and communications, and regional thresholds. </w:t>
      </w:r>
    </w:p>
    <w:p w14:paraId="40CF3C49" w14:textId="77777777" w:rsidR="00D37D2B" w:rsidRPr="005A319F" w:rsidRDefault="00D37D2B" w:rsidP="00D924C7">
      <w:pPr>
        <w:pStyle w:val="Heading2"/>
      </w:pPr>
      <w:r w:rsidRPr="005A319F">
        <w:t>Additional principles</w:t>
      </w:r>
    </w:p>
    <w:p w14:paraId="1D86FE15" w14:textId="01A64AA4" w:rsidR="00496C42" w:rsidRDefault="7CEC2BC4" w:rsidP="00D37D2B">
      <w:r>
        <w:t xml:space="preserve">PIAC supports the principles proposed by AEMO but recommends </w:t>
      </w:r>
      <w:r w:rsidR="003E7BD7">
        <w:t xml:space="preserve">adding </w:t>
      </w:r>
      <w:r>
        <w:t xml:space="preserve">an additional principle recognising the broad benefits of WDR and that the development of the WDR market through increased participation is in the interests of consumers. </w:t>
      </w:r>
    </w:p>
    <w:p w14:paraId="28A27168" w14:textId="638A3138" w:rsidR="005A319F" w:rsidRDefault="005A319F" w:rsidP="00D924C7">
      <w:pPr>
        <w:pStyle w:val="Heading2"/>
      </w:pPr>
      <w:r w:rsidRPr="005A319F">
        <w:t xml:space="preserve">Power system security </w:t>
      </w:r>
    </w:p>
    <w:p w14:paraId="7AE57845" w14:textId="0593FD1B" w:rsidR="00A62389" w:rsidRDefault="7CEC2BC4" w:rsidP="005A319F">
      <w:r>
        <w:t>We note AEMO intends to assess proposed W</w:t>
      </w:r>
      <w:r w:rsidR="00050811">
        <w:t>holesale Demand Response Unit (WDRU) a</w:t>
      </w:r>
      <w:r>
        <w:t xml:space="preserve">ggregations to ensure they do not ‘materially impact’ power system security. AEMO indicates triggers for this assessment will include whether the proposed aggregation is in a ‘weaker area of the power system’ and if it is above 5MW. We are concerned these triggers may add unnecessary costs and barriers to participating in WDR. </w:t>
      </w:r>
    </w:p>
    <w:p w14:paraId="5043F8EF" w14:textId="77777777" w:rsidR="00A62389" w:rsidRDefault="00A62389" w:rsidP="005A319F"/>
    <w:p w14:paraId="5AB1CB0E" w14:textId="6D3A5046" w:rsidR="005A319F" w:rsidRDefault="7CEC2BC4" w:rsidP="005A319F">
      <w:r>
        <w:lastRenderedPageBreak/>
        <w:t>Both ‘material impact’ and ‘weaker area of the power system’ are subjective terms, which may add costs to participants looking to aggregate WDR</w:t>
      </w:r>
      <w:r w:rsidR="00050811">
        <w:t>Us</w:t>
      </w:r>
      <w:r>
        <w:t xml:space="preserve">. For example, DRSPs may spend resources recruiting customers in a certain area to participate in WDR and then find their aggregation is not accepted by AEMO as it is in a weaker area of the system and has a material impact on system security. We support AEMO including in the Guidelines an explanation of how it will interpret these and how DRSPs can find information about weaker areas of the power system. However, we recommend AEMO also provide accessible, usable and consistent definitions of what constitutes a material impact and a weaker area so DRSPs can establish and register aggregations most efficiently. </w:t>
      </w:r>
    </w:p>
    <w:p w14:paraId="71C7B6F1" w14:textId="77777777" w:rsidR="00906FEC" w:rsidRDefault="00906FEC" w:rsidP="005A319F"/>
    <w:p w14:paraId="15C23A1C" w14:textId="0C78F82B" w:rsidR="00A62389" w:rsidRDefault="00906FEC" w:rsidP="005A319F">
      <w:r>
        <w:t>PIAC</w:t>
      </w:r>
      <w:r w:rsidR="00C14407">
        <w:t xml:space="preserve"> </w:t>
      </w:r>
      <w:r>
        <w:t>is</w:t>
      </w:r>
      <w:r w:rsidR="00C14407">
        <w:t xml:space="preserve"> also concerned t</w:t>
      </w:r>
      <w:r w:rsidR="00A62389">
        <w:t xml:space="preserve">he 5MW threshold for assessment of power system impacts is arbitrarily set and </w:t>
      </w:r>
      <w:r w:rsidR="00C14407">
        <w:t xml:space="preserve">may unnecessarily limit participation. We welcome further consideration of whether the 5MW threshold </w:t>
      </w:r>
      <w:r>
        <w:t>is</w:t>
      </w:r>
      <w:r w:rsidR="00C14407">
        <w:t xml:space="preserve"> appropriate and</w:t>
      </w:r>
      <w:r w:rsidR="00F247FA">
        <w:t xml:space="preserve"> encourages</w:t>
      </w:r>
      <w:r w:rsidR="00C14407">
        <w:t xml:space="preserve"> efficient levels of WDR. </w:t>
      </w:r>
    </w:p>
    <w:p w14:paraId="573BEFB4" w14:textId="77777777" w:rsidR="00C14407" w:rsidRDefault="00C14407" w:rsidP="005A319F"/>
    <w:p w14:paraId="3167BAB0" w14:textId="6E9E76F9" w:rsidR="000D607F" w:rsidRDefault="7CEC2BC4" w:rsidP="00816029">
      <w:r>
        <w:t>PIAC notes AEMO intends to use a process similar to the one it uses for non-scheduled generating units in its assessment of power system security implications of aggregation.</w:t>
      </w:r>
      <w:r w:rsidR="00F247FA">
        <w:t xml:space="preserve"> In some respects,</w:t>
      </w:r>
      <w:r>
        <w:t xml:space="preserve"> DRSPs and </w:t>
      </w:r>
      <w:r w:rsidR="00C82252">
        <w:t>non-</w:t>
      </w:r>
      <w:r>
        <w:t xml:space="preserve">scheduled generators </w:t>
      </w:r>
      <w:r w:rsidR="00F247FA">
        <w:t xml:space="preserve">do not have the same impacts on the energy system </w:t>
      </w:r>
      <w:r>
        <w:t>and it is not appropriate to treat the</w:t>
      </w:r>
      <w:r w:rsidR="00F247FA">
        <w:t>m as equivalent</w:t>
      </w:r>
      <w:r>
        <w:t>. Any arrangements for including flexible demand in the wholesale market should be suitable for flexible demand units rather than</w:t>
      </w:r>
      <w:r w:rsidR="00F247FA">
        <w:t xml:space="preserve"> simply</w:t>
      </w:r>
      <w:r>
        <w:t xml:space="preserve"> replicating what has been designed for large generators.  </w:t>
      </w:r>
    </w:p>
    <w:p w14:paraId="7371B3CC" w14:textId="77777777" w:rsidR="00816029" w:rsidRDefault="00816029" w:rsidP="00816029"/>
    <w:p w14:paraId="12141A43" w14:textId="478F21AA" w:rsidR="00816029" w:rsidRDefault="00906FEC" w:rsidP="00816029">
      <w:r>
        <w:rPr>
          <w:bCs/>
        </w:rPr>
        <w:t xml:space="preserve">PIAC </w:t>
      </w:r>
      <w:r w:rsidR="00816029">
        <w:rPr>
          <w:bCs/>
        </w:rPr>
        <w:t>appreciate</w:t>
      </w:r>
      <w:r>
        <w:rPr>
          <w:bCs/>
        </w:rPr>
        <w:t>s</w:t>
      </w:r>
      <w:r w:rsidR="00816029">
        <w:rPr>
          <w:bCs/>
        </w:rPr>
        <w:t xml:space="preserve"> AEMO’s responsibility to ensure system security and anticipate and mitigate</w:t>
      </w:r>
      <w:r w:rsidR="00816029" w:rsidRPr="00816029">
        <w:rPr>
          <w:bCs/>
        </w:rPr>
        <w:t xml:space="preserve"> potential impact</w:t>
      </w:r>
      <w:r w:rsidR="00816029">
        <w:rPr>
          <w:bCs/>
        </w:rPr>
        <w:t xml:space="preserve">s </w:t>
      </w:r>
      <w:r w:rsidR="00816029" w:rsidRPr="00816029">
        <w:rPr>
          <w:bCs/>
        </w:rPr>
        <w:t>of WDR</w:t>
      </w:r>
      <w:r w:rsidR="00816029">
        <w:rPr>
          <w:bCs/>
        </w:rPr>
        <w:t xml:space="preserve"> on it</w:t>
      </w:r>
      <w:r w:rsidR="00816029" w:rsidRPr="00816029">
        <w:rPr>
          <w:bCs/>
        </w:rPr>
        <w:t xml:space="preserve">. However, </w:t>
      </w:r>
      <w:r w:rsidR="00816029">
        <w:rPr>
          <w:bCs/>
        </w:rPr>
        <w:t xml:space="preserve">we caution </w:t>
      </w:r>
      <w:r w:rsidR="00816029" w:rsidRPr="00816029">
        <w:rPr>
          <w:bCs/>
        </w:rPr>
        <w:t>the framework should not restrict participation by</w:t>
      </w:r>
      <w:r w:rsidR="00F247FA">
        <w:rPr>
          <w:bCs/>
        </w:rPr>
        <w:t>,</w:t>
      </w:r>
      <w:r w:rsidR="00816029" w:rsidRPr="00816029">
        <w:rPr>
          <w:bCs/>
        </w:rPr>
        <w:t xml:space="preserve"> or impose obligations on</w:t>
      </w:r>
      <w:r w:rsidR="00F247FA">
        <w:rPr>
          <w:bCs/>
        </w:rPr>
        <w:t>,</w:t>
      </w:r>
      <w:r w:rsidR="00540190">
        <w:rPr>
          <w:bCs/>
        </w:rPr>
        <w:t xml:space="preserve"> </w:t>
      </w:r>
      <w:r w:rsidR="00816029" w:rsidRPr="00816029">
        <w:rPr>
          <w:bCs/>
        </w:rPr>
        <w:t xml:space="preserve">new participants to address broader system security or reliability issues that they </w:t>
      </w:r>
      <w:r w:rsidR="00F247FA">
        <w:rPr>
          <w:bCs/>
        </w:rPr>
        <w:t>do not cause</w:t>
      </w:r>
      <w:r w:rsidR="00816029" w:rsidRPr="00816029">
        <w:rPr>
          <w:bCs/>
        </w:rPr>
        <w:t xml:space="preserve"> or have </w:t>
      </w:r>
      <w:r w:rsidR="006511E3">
        <w:rPr>
          <w:bCs/>
        </w:rPr>
        <w:t>little</w:t>
      </w:r>
      <w:r w:rsidR="00816029" w:rsidRPr="00816029">
        <w:rPr>
          <w:bCs/>
        </w:rPr>
        <w:t xml:space="preserve"> ability to </w:t>
      </w:r>
      <w:r w:rsidR="00F247FA">
        <w:rPr>
          <w:bCs/>
        </w:rPr>
        <w:t>control</w:t>
      </w:r>
      <w:r w:rsidR="006511E3">
        <w:rPr>
          <w:bCs/>
        </w:rPr>
        <w:t>.</w:t>
      </w:r>
    </w:p>
    <w:p w14:paraId="28402D6B" w14:textId="77777777" w:rsidR="00540190" w:rsidRPr="00540190" w:rsidRDefault="00540190" w:rsidP="00D924C7">
      <w:pPr>
        <w:pStyle w:val="Heading2"/>
      </w:pPr>
      <w:r w:rsidRPr="00540190">
        <w:t xml:space="preserve">Telemetry and communications </w:t>
      </w:r>
    </w:p>
    <w:p w14:paraId="411B3ABC" w14:textId="50386115" w:rsidR="00E02956" w:rsidRDefault="00906FEC" w:rsidP="00E02956">
      <w:r>
        <w:t>PIAC</w:t>
      </w:r>
      <w:r w:rsidR="00540190">
        <w:t xml:space="preserve"> note</w:t>
      </w:r>
      <w:r>
        <w:t>s</w:t>
      </w:r>
      <w:r w:rsidR="00540190">
        <w:t xml:space="preserve"> a number of stakeholders have raised concerns about the level of communication and telemetry require</w:t>
      </w:r>
      <w:r w:rsidR="00E02956">
        <w:t>d</w:t>
      </w:r>
      <w:r w:rsidR="00540190">
        <w:t xml:space="preserve"> for participation in WDR. We do not support applying the same telemetry and communication requirements as generators to DRSPs as a default. As mentioned above, DRSPs </w:t>
      </w:r>
      <w:r w:rsidR="00E02956">
        <w:t xml:space="preserve">do not </w:t>
      </w:r>
      <w:r w:rsidR="00741CC9">
        <w:t xml:space="preserve">necessarily </w:t>
      </w:r>
      <w:r w:rsidR="00E02956">
        <w:t>provide the same services to and do not participate in the market in the same way as generators. As Enel X notes in its submission to the wholesale demand response rule change consultation paper:</w:t>
      </w:r>
    </w:p>
    <w:p w14:paraId="4CA92878" w14:textId="77777777" w:rsidR="00E02956" w:rsidRDefault="00E02956" w:rsidP="00E02956">
      <w:pPr>
        <w:ind w:left="567"/>
        <w:rPr>
          <w:i/>
        </w:rPr>
      </w:pPr>
    </w:p>
    <w:p w14:paraId="10826C32" w14:textId="77777777" w:rsidR="00E02956" w:rsidRPr="00D924C7" w:rsidRDefault="00E02956" w:rsidP="00D924C7">
      <w:pPr>
        <w:pStyle w:val="Quote"/>
      </w:pPr>
      <w:r w:rsidRPr="00D924C7">
        <w:t>[D]</w:t>
      </w:r>
      <w:proofErr w:type="spellStart"/>
      <w:r w:rsidRPr="00D924C7">
        <w:t>emand</w:t>
      </w:r>
      <w:proofErr w:type="spellEnd"/>
      <w:r w:rsidRPr="00D924C7">
        <w:t xml:space="preserve"> response is an inherently different service to that provided by scheduled generators, whose business model reflects the primary purpose of generating electricity to sell into the NEM. A load does not exist for the primary purpose of buying electricity or offering demand response. Rather, its purpose is to carry out whatever business functions or personal uses that are of value to the user.</w:t>
      </w:r>
    </w:p>
    <w:p w14:paraId="767D8384" w14:textId="77777777" w:rsidR="00E02956" w:rsidRPr="00D924C7" w:rsidRDefault="00E02956" w:rsidP="00D924C7">
      <w:pPr>
        <w:pStyle w:val="Quote"/>
      </w:pPr>
    </w:p>
    <w:p w14:paraId="482B587D" w14:textId="77777777" w:rsidR="00966B96" w:rsidRPr="00B67AA1" w:rsidRDefault="00E02956" w:rsidP="00D924C7">
      <w:pPr>
        <w:pStyle w:val="Quote"/>
      </w:pPr>
      <w:r w:rsidRPr="00D924C7">
        <w:t>Demand response is a recognition by an energy user that it can create additional value by being more flexible with when and how much it consumes. Subjecting parties who wish to offer wholesale demand response to the same obligations as scheduled generators fundamentally misunderstands the nature of demand response. It may also explain why so few NEM participants have volunteered to be classified as scheduled loads.</w:t>
      </w:r>
      <w:r w:rsidR="00906FEC" w:rsidRPr="00D924C7">
        <w:rPr>
          <w:rStyle w:val="FootnoteReference"/>
        </w:rPr>
        <w:footnoteReference w:id="1"/>
      </w:r>
    </w:p>
    <w:p w14:paraId="41EE7EDD" w14:textId="77777777" w:rsidR="00966B96" w:rsidRDefault="00966B96" w:rsidP="00966B96"/>
    <w:p w14:paraId="7585BAC0" w14:textId="77777777" w:rsidR="000D607F" w:rsidRDefault="000D607F" w:rsidP="00966B96">
      <w:r w:rsidRPr="000D607F">
        <w:t xml:space="preserve">The </w:t>
      </w:r>
      <w:r>
        <w:t xml:space="preserve">Guidelines </w:t>
      </w:r>
      <w:r w:rsidRPr="000D607F">
        <w:t>must balance the value of having control and visibility over loads with the need to offer value to participants</w:t>
      </w:r>
      <w:r w:rsidR="00E02956">
        <w:t xml:space="preserve"> and meet the requirement under the Rules for AEMO to ‘</w:t>
      </w:r>
      <w:r w:rsidR="00E02956" w:rsidRPr="00E02956">
        <w:t>maximise the effectiveness of WDR at the least cost to end use consumers of electricity.</w:t>
      </w:r>
      <w:r w:rsidR="00E02956">
        <w:t>’</w:t>
      </w:r>
    </w:p>
    <w:p w14:paraId="265A491E" w14:textId="77777777" w:rsidR="00E02956" w:rsidRDefault="00E02956" w:rsidP="00966B96"/>
    <w:p w14:paraId="70B3D6FE" w14:textId="77777777" w:rsidR="00E02956" w:rsidRPr="00B67AA1" w:rsidRDefault="00E02956" w:rsidP="00D924C7">
      <w:pPr>
        <w:pStyle w:val="Heading2"/>
      </w:pPr>
      <w:r w:rsidRPr="00B67AA1">
        <w:lastRenderedPageBreak/>
        <w:t>Regional thresholds</w:t>
      </w:r>
    </w:p>
    <w:p w14:paraId="3E4BB8F9" w14:textId="5518C91B" w:rsidR="000D607F" w:rsidRDefault="00B8728D" w:rsidP="00966B96">
      <w:r>
        <w:t xml:space="preserve">PIAC </w:t>
      </w:r>
      <w:r w:rsidR="00F247FA">
        <w:t>acknowledges</w:t>
      </w:r>
      <w:r>
        <w:t xml:space="preserve"> AEMO’s desire for regional thresholds for extra telemetry and communications requirements but </w:t>
      </w:r>
      <w:r w:rsidR="00450FD2">
        <w:t>do</w:t>
      </w:r>
      <w:r w:rsidR="006511E3">
        <w:t>es</w:t>
      </w:r>
      <w:r w:rsidR="00450FD2">
        <w:t xml:space="preserve"> not consider a satisfactory rationale for </w:t>
      </w:r>
      <w:r>
        <w:t>them</w:t>
      </w:r>
      <w:r w:rsidR="00901225">
        <w:t xml:space="preserve"> </w:t>
      </w:r>
      <w:r w:rsidR="00450FD2">
        <w:t>has been established</w:t>
      </w:r>
      <w:r w:rsidR="00901225">
        <w:t xml:space="preserve">. </w:t>
      </w:r>
    </w:p>
    <w:p w14:paraId="7A03F51B" w14:textId="77777777" w:rsidR="00901225" w:rsidRDefault="00901225" w:rsidP="00966B96"/>
    <w:p w14:paraId="04DF060C" w14:textId="76AD660B" w:rsidR="00901225" w:rsidRDefault="7CEC2BC4" w:rsidP="00966B96">
      <w:r>
        <w:t xml:space="preserve">AEMO has proposed to initially set conservative values for the regional thresholds for non-telemetered WDR which will be revised over time following observations of WDR dispatch performance and assessments of the impact on forecasting risk and uncertainty. This conservative approach will likely place unnecessary costs on participation, especially on smaller loads, and restrict the development of the WDR market placing it at odds with the requirement to ‘maximise the effectiveness of WDR at the least cost to end use consumers of electricity’. </w:t>
      </w:r>
    </w:p>
    <w:p w14:paraId="7AF7A9F0" w14:textId="77777777" w:rsidR="001B3ED8" w:rsidRDefault="001B3ED8" w:rsidP="00966B96"/>
    <w:p w14:paraId="0A3F4325" w14:textId="77777777" w:rsidR="00CE457B" w:rsidRDefault="001B3ED8" w:rsidP="00966B96">
      <w:r>
        <w:t>Regional thresholds may also create</w:t>
      </w:r>
      <w:r w:rsidR="00174649">
        <w:t xml:space="preserve"> </w:t>
      </w:r>
      <w:r w:rsidR="00CE457B">
        <w:t>first-mover</w:t>
      </w:r>
      <w:r>
        <w:t xml:space="preserve"> advantage where DRSPs create aggregations up to 5MW until the regional threshold is reached</w:t>
      </w:r>
      <w:r w:rsidR="00CE457B">
        <w:t xml:space="preserve"> at which point new entrants are subject to higher telemetry and communications requirements. In the long-term, this may stifle competition in a region, potentially leading to inefficient operation of the market and poor outcomes for consumers. Alternatively, updates to the regional thresholds may deter first-movers as they may anticipate thresholds changing and so may not want to make decisions based on them.</w:t>
      </w:r>
    </w:p>
    <w:p w14:paraId="37FF85BC" w14:textId="77777777" w:rsidR="00CE457B" w:rsidRDefault="00CE457B" w:rsidP="00966B96"/>
    <w:p w14:paraId="60BA45FA" w14:textId="77777777" w:rsidR="00CE457B" w:rsidRDefault="00CE457B" w:rsidP="00966B96">
      <w:r>
        <w:t xml:space="preserve">Rather than arbitrarily determined telemetry and communications requirements </w:t>
      </w:r>
      <w:r w:rsidR="00386196">
        <w:t xml:space="preserve">that are not applied equally to </w:t>
      </w:r>
      <w:r>
        <w:t xml:space="preserve">WDRUs, AEMO should determine </w:t>
      </w:r>
      <w:r w:rsidR="00386196">
        <w:t>fit-for-purpose</w:t>
      </w:r>
      <w:r>
        <w:t xml:space="preserve"> requirements </w:t>
      </w:r>
      <w:r w:rsidR="00386196">
        <w:t xml:space="preserve">that </w:t>
      </w:r>
      <w:r>
        <w:t>balanc</w:t>
      </w:r>
      <w:r w:rsidR="00386196">
        <w:t>e</w:t>
      </w:r>
      <w:r>
        <w:t xml:space="preserve"> the need for visibility and control </w:t>
      </w:r>
      <w:r w:rsidR="00386196">
        <w:t xml:space="preserve">with delivering a cost-effective mechanism that maximises benefits to consumers. </w:t>
      </w:r>
    </w:p>
    <w:p w14:paraId="651B6900" w14:textId="77777777" w:rsidR="00CE457B" w:rsidRDefault="00CE457B" w:rsidP="00966B96"/>
    <w:p w14:paraId="67981564" w14:textId="77777777" w:rsidR="00906FEC" w:rsidRDefault="00906FEC" w:rsidP="00966B96">
      <w:r>
        <w:t xml:space="preserve">We welcome the opportunity to discuss these matters further with AEMO. </w:t>
      </w:r>
    </w:p>
    <w:p w14:paraId="507988D9" w14:textId="77777777" w:rsidR="00906FEC" w:rsidRDefault="00906FEC" w:rsidP="00966B96"/>
    <w:p w14:paraId="6183DFC5" w14:textId="77777777" w:rsidR="00966B96" w:rsidRDefault="00966B96" w:rsidP="00966B96">
      <w:r>
        <w:t>Yours sincerely</w:t>
      </w:r>
    </w:p>
    <w:p w14:paraId="1B2C7AD6" w14:textId="77777777" w:rsidR="00966B96" w:rsidRDefault="00966B96" w:rsidP="00966B96"/>
    <w:p w14:paraId="1471174C" w14:textId="77777777" w:rsidR="00966B96" w:rsidRDefault="00966B96" w:rsidP="00966B96"/>
    <w:p w14:paraId="519770E3" w14:textId="77777777" w:rsidR="00966B96" w:rsidRDefault="00966B96" w:rsidP="00966B96"/>
    <w:p w14:paraId="39D289BC" w14:textId="77777777" w:rsidR="00966B96" w:rsidRDefault="00966B96" w:rsidP="00966B96"/>
    <w:p w14:paraId="5CFABFE5" w14:textId="77777777" w:rsidR="00966B96" w:rsidRDefault="00BE4091" w:rsidP="00966B96">
      <w:pPr>
        <w:rPr>
          <w:b/>
        </w:rPr>
      </w:pPr>
      <w:r>
        <w:rPr>
          <w:b/>
        </w:rPr>
        <w:t xml:space="preserve">Anna </w:t>
      </w:r>
      <w:proofErr w:type="spellStart"/>
      <w:r>
        <w:rPr>
          <w:b/>
        </w:rPr>
        <w:t>Livsey</w:t>
      </w:r>
      <w:proofErr w:type="spellEnd"/>
      <w:r>
        <w:rPr>
          <w:b/>
        </w:rPr>
        <w:tab/>
      </w:r>
    </w:p>
    <w:p w14:paraId="1AA0A2CA" w14:textId="77777777" w:rsidR="00966B96" w:rsidRDefault="00BE4091" w:rsidP="00966B96">
      <w:pPr>
        <w:rPr>
          <w:b/>
        </w:rPr>
      </w:pPr>
      <w:r>
        <w:rPr>
          <w:b/>
        </w:rPr>
        <w:t>Policy and Communications Officer</w:t>
      </w:r>
    </w:p>
    <w:p w14:paraId="1F91D6C2" w14:textId="77777777" w:rsidR="00966B96" w:rsidRDefault="00966B96" w:rsidP="00D924C7">
      <w:r>
        <w:t>Public Interest Advocacy Centre</w:t>
      </w:r>
    </w:p>
    <w:p w14:paraId="38E88CDF" w14:textId="77777777" w:rsidR="00966B96" w:rsidRDefault="00966B96" w:rsidP="00D924C7"/>
    <w:p w14:paraId="4C7109EC" w14:textId="77777777" w:rsidR="00966B96" w:rsidRDefault="00966B96">
      <w:r>
        <w:t xml:space="preserve">Direct phone: </w:t>
      </w:r>
      <w:r>
        <w:tab/>
        <w:t>+61 2 8898 65</w:t>
      </w:r>
      <w:r w:rsidR="00BE4091">
        <w:t>20</w:t>
      </w:r>
    </w:p>
    <w:p w14:paraId="27968471" w14:textId="77777777" w:rsidR="00966B96" w:rsidRDefault="00966B96">
      <w:r>
        <w:t xml:space="preserve">E-mail: </w:t>
      </w:r>
      <w:r>
        <w:tab/>
      </w:r>
      <w:r>
        <w:tab/>
      </w:r>
      <w:r w:rsidR="00BE4091">
        <w:t>alivsey</w:t>
      </w:r>
      <w:r w:rsidRPr="00B65798">
        <w:t>@piac.asn.au</w:t>
      </w:r>
      <w:r w:rsidRPr="005B7B32">
        <w:t xml:space="preserve"> </w:t>
      </w:r>
    </w:p>
    <w:p w14:paraId="5463B77E" w14:textId="77777777" w:rsidR="00966B96" w:rsidRDefault="00966B96" w:rsidP="00966B96"/>
    <w:p w14:paraId="108351D1" w14:textId="77777777" w:rsidR="00D065BC" w:rsidRPr="00966B96" w:rsidRDefault="00D065BC" w:rsidP="00966B96"/>
    <w:sectPr w:rsidR="00D065BC" w:rsidRPr="00966B96" w:rsidSect="008C0B94">
      <w:headerReference w:type="first" r:id="rId9"/>
      <w:footerReference w:type="first" r:id="rId10"/>
      <w:pgSz w:w="11901" w:h="16840"/>
      <w:pgMar w:top="1134" w:right="1134" w:bottom="822" w:left="1418" w:header="822" w:footer="822" w:gutter="0"/>
      <w:cols w:space="709"/>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AAEA" w16cex:dateUtc="2020-11-30T06:31:00Z"/>
  <w16cex:commentExtensible w16cex:durableId="236FAB06" w16cex:dateUtc="2020-11-30T06: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75017" w14:textId="77777777" w:rsidR="000C4F4B" w:rsidRDefault="000C4F4B">
      <w:pPr>
        <w:spacing w:line="240" w:lineRule="auto"/>
      </w:pPr>
      <w:r>
        <w:separator/>
      </w:r>
    </w:p>
  </w:endnote>
  <w:endnote w:type="continuationSeparator" w:id="0">
    <w:p w14:paraId="66B913D5" w14:textId="77777777" w:rsidR="000C4F4B" w:rsidRDefault="000C4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9D36" w14:textId="77777777" w:rsidR="00D065BC" w:rsidRDefault="004A7445">
    <w:pPr>
      <w:pStyle w:val="Footer"/>
      <w:rPr>
        <w:kern w:val="16"/>
      </w:rPr>
    </w:pPr>
    <w:r>
      <w:rPr>
        <w:noProof/>
        <w:lang w:val="en-US"/>
      </w:rPr>
      <mc:AlternateContent>
        <mc:Choice Requires="wps">
          <w:drawing>
            <wp:anchor distT="0" distB="0" distL="114300" distR="114300" simplePos="0" relativeHeight="251657216" behindDoc="0" locked="0" layoutInCell="1" allowOverlap="1" wp14:anchorId="025DBE8F" wp14:editId="61641C8F">
              <wp:simplePos x="0" y="0"/>
              <wp:positionH relativeFrom="column">
                <wp:posOffset>5056505</wp:posOffset>
              </wp:positionH>
              <wp:positionV relativeFrom="page">
                <wp:posOffset>9453245</wp:posOffset>
              </wp:positionV>
              <wp:extent cx="1229995" cy="897890"/>
              <wp:effectExtent l="0" t="0" r="0" b="0"/>
              <wp:wrapSquare wrapText="bothSides"/>
              <wp:docPr id="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9995" cy="8978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ex="http://schemas.microsoft.com/office/word/2018/wordml/cex" w="0">
                            <a:solidFill>
                              <a:srgbClr val="000000"/>
                            </a:solidFill>
                            <a:miter lim="800000"/>
                            <a:headEnd/>
                            <a:tailEnd/>
                          </a14:hiddenLine>
                        </a:ext>
                      </a:extLst>
                    </wps:spPr>
                    <wps:txbx>
                      <w:txbxContent>
                        <w:p w14:paraId="399356DA" w14:textId="77777777" w:rsidR="001F2A49" w:rsidRPr="00F7584D" w:rsidRDefault="001F2A49" w:rsidP="001F2A49">
                          <w:pPr>
                            <w:pStyle w:val="Footer"/>
                            <w:rPr>
                              <w:kern w:val="16"/>
                              <w:sz w:val="16"/>
                              <w:szCs w:val="16"/>
                            </w:rPr>
                          </w:pPr>
                          <w:r w:rsidRPr="00F7584D">
                            <w:rPr>
                              <w:kern w:val="16"/>
                              <w:sz w:val="16"/>
                              <w:szCs w:val="16"/>
                            </w:rPr>
                            <w:t xml:space="preserve">Level </w:t>
                          </w:r>
                          <w:r>
                            <w:rPr>
                              <w:kern w:val="16"/>
                              <w:sz w:val="16"/>
                              <w:szCs w:val="16"/>
                            </w:rPr>
                            <w:t>5</w:t>
                          </w:r>
                          <w:r w:rsidRPr="00F7584D">
                            <w:rPr>
                              <w:kern w:val="16"/>
                              <w:sz w:val="16"/>
                              <w:szCs w:val="16"/>
                            </w:rPr>
                            <w:t xml:space="preserve">, 175 </w:t>
                          </w:r>
                          <w:r>
                            <w:rPr>
                              <w:kern w:val="16"/>
                              <w:sz w:val="16"/>
                              <w:szCs w:val="16"/>
                            </w:rPr>
                            <w:t>Liverpool</w:t>
                          </w:r>
                          <w:r w:rsidRPr="00F7584D">
                            <w:rPr>
                              <w:kern w:val="16"/>
                              <w:sz w:val="16"/>
                              <w:szCs w:val="16"/>
                            </w:rPr>
                            <w:t xml:space="preserve"> St</w:t>
                          </w:r>
                        </w:p>
                        <w:p w14:paraId="6477AE94" w14:textId="77777777" w:rsidR="001F2A49" w:rsidRPr="00F7584D" w:rsidRDefault="001F2A49" w:rsidP="001F2A49">
                          <w:pPr>
                            <w:pStyle w:val="Footer"/>
                            <w:rPr>
                              <w:kern w:val="16"/>
                              <w:sz w:val="16"/>
                              <w:szCs w:val="16"/>
                            </w:rPr>
                          </w:pPr>
                          <w:r w:rsidRPr="00F7584D">
                            <w:rPr>
                              <w:kern w:val="16"/>
                              <w:sz w:val="16"/>
                              <w:szCs w:val="16"/>
                            </w:rPr>
                            <w:t>Sydney NSW 2000</w:t>
                          </w:r>
                        </w:p>
                        <w:p w14:paraId="5E71453F" w14:textId="77777777" w:rsidR="001F2A49" w:rsidRPr="00F7584D" w:rsidRDefault="001F2A49" w:rsidP="001F2A49">
                          <w:pPr>
                            <w:pStyle w:val="Footer"/>
                            <w:rPr>
                              <w:kern w:val="16"/>
                              <w:sz w:val="16"/>
                              <w:szCs w:val="16"/>
                            </w:rPr>
                          </w:pPr>
                          <w:r w:rsidRPr="00F7584D">
                            <w:rPr>
                              <w:kern w:val="16"/>
                              <w:sz w:val="16"/>
                              <w:szCs w:val="16"/>
                            </w:rPr>
                            <w:t>Phone: 61 2 8898 6500</w:t>
                          </w:r>
                        </w:p>
                        <w:p w14:paraId="3A7A67CA" w14:textId="77777777" w:rsidR="001F2A49" w:rsidRPr="00F7584D" w:rsidRDefault="001F2A49" w:rsidP="001F2A49">
                          <w:pPr>
                            <w:pStyle w:val="Footer"/>
                            <w:rPr>
                              <w:kern w:val="16"/>
                              <w:sz w:val="16"/>
                              <w:szCs w:val="16"/>
                            </w:rPr>
                          </w:pPr>
                          <w:r w:rsidRPr="00F7584D">
                            <w:rPr>
                              <w:kern w:val="16"/>
                              <w:sz w:val="16"/>
                              <w:szCs w:val="16"/>
                            </w:rPr>
                            <w:t>Fax: 61 2 8898 6555</w:t>
                          </w:r>
                        </w:p>
                        <w:p w14:paraId="04EC8B6D" w14:textId="77777777" w:rsidR="001F2A49" w:rsidRPr="00F7584D" w:rsidRDefault="001F2A49" w:rsidP="001F2A49">
                          <w:pPr>
                            <w:pStyle w:val="Footer"/>
                            <w:rPr>
                              <w:kern w:val="16"/>
                              <w:sz w:val="16"/>
                              <w:szCs w:val="16"/>
                            </w:rPr>
                          </w:pPr>
                          <w:r w:rsidRPr="00F7584D">
                            <w:rPr>
                              <w:kern w:val="16"/>
                              <w:sz w:val="16"/>
                              <w:szCs w:val="16"/>
                            </w:rPr>
                            <w:t>www.piac.asn.au</w:t>
                          </w:r>
                        </w:p>
                        <w:p w14:paraId="01AD7C50" w14:textId="77777777" w:rsidR="00D065BC" w:rsidRPr="00A13D83" w:rsidRDefault="001F2A49" w:rsidP="001F2A49">
                          <w:pPr>
                            <w:pStyle w:val="Footer"/>
                            <w:rPr>
                              <w:sz w:val="16"/>
                              <w:szCs w:val="16"/>
                            </w:rPr>
                          </w:pPr>
                          <w:r w:rsidRPr="00F7584D">
                            <w:rPr>
                              <w:kern w:val="16"/>
                              <w:sz w:val="16"/>
                              <w:szCs w:val="16"/>
                            </w:rPr>
                            <w:t>ABN: 77 002 773 524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DBE8F" id="_x0000_t202" coordsize="21600,21600" o:spt="202" path="m,l,21600r21600,l21600,xe">
              <v:stroke joinstyle="miter"/>
              <v:path gradientshapeok="t" o:connecttype="rect"/>
            </v:shapetype>
            <v:shape id="Text Box 5" o:spid="_x0000_s1026" type="#_x0000_t202" style="position:absolute;margin-left:398.15pt;margin-top:744.35pt;width:96.85pt;height: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" stroked="f">
              <o:lock v:ext="edit" aspectratio="t"/>
              <v:textbox inset="0,0,0,0">
                <w:txbxContent>
                  <w:p w14:paraId="399356DA" w14:textId="77777777" w:rsidR="001F2A49" w:rsidRPr="00F7584D" w:rsidRDefault="001F2A49" w:rsidP="001F2A49">
                    <w:pPr>
                      <w:pStyle w:val="Footer"/>
                      <w:rPr>
                        <w:kern w:val="16"/>
                        <w:sz w:val="16"/>
                        <w:szCs w:val="16"/>
                      </w:rPr>
                    </w:pPr>
                    <w:r w:rsidRPr="00F7584D">
                      <w:rPr>
                        <w:kern w:val="16"/>
                        <w:sz w:val="16"/>
                        <w:szCs w:val="16"/>
                      </w:rPr>
                      <w:t xml:space="preserve">Level </w:t>
                    </w:r>
                    <w:r>
                      <w:rPr>
                        <w:kern w:val="16"/>
                        <w:sz w:val="16"/>
                        <w:szCs w:val="16"/>
                      </w:rPr>
                      <w:t>5</w:t>
                    </w:r>
                    <w:r w:rsidRPr="00F7584D">
                      <w:rPr>
                        <w:kern w:val="16"/>
                        <w:sz w:val="16"/>
                        <w:szCs w:val="16"/>
                      </w:rPr>
                      <w:t xml:space="preserve">, 175 </w:t>
                    </w:r>
                    <w:r>
                      <w:rPr>
                        <w:kern w:val="16"/>
                        <w:sz w:val="16"/>
                        <w:szCs w:val="16"/>
                      </w:rPr>
                      <w:t>Liverpool</w:t>
                    </w:r>
                    <w:r w:rsidRPr="00F7584D">
                      <w:rPr>
                        <w:kern w:val="16"/>
                        <w:sz w:val="16"/>
                        <w:szCs w:val="16"/>
                      </w:rPr>
                      <w:t xml:space="preserve"> St</w:t>
                    </w:r>
                  </w:p>
                  <w:p w14:paraId="6477AE94" w14:textId="77777777" w:rsidR="001F2A49" w:rsidRPr="00F7584D" w:rsidRDefault="001F2A49" w:rsidP="001F2A49">
                    <w:pPr>
                      <w:pStyle w:val="Footer"/>
                      <w:rPr>
                        <w:kern w:val="16"/>
                        <w:sz w:val="16"/>
                        <w:szCs w:val="16"/>
                      </w:rPr>
                    </w:pPr>
                    <w:r w:rsidRPr="00F7584D">
                      <w:rPr>
                        <w:kern w:val="16"/>
                        <w:sz w:val="16"/>
                        <w:szCs w:val="16"/>
                      </w:rPr>
                      <w:t>Sydney NSW 2000</w:t>
                    </w:r>
                  </w:p>
                  <w:p w14:paraId="5E71453F" w14:textId="77777777" w:rsidR="001F2A49" w:rsidRPr="00F7584D" w:rsidRDefault="001F2A49" w:rsidP="001F2A49">
                    <w:pPr>
                      <w:pStyle w:val="Footer"/>
                      <w:rPr>
                        <w:kern w:val="16"/>
                        <w:sz w:val="16"/>
                        <w:szCs w:val="16"/>
                      </w:rPr>
                    </w:pPr>
                    <w:r w:rsidRPr="00F7584D">
                      <w:rPr>
                        <w:kern w:val="16"/>
                        <w:sz w:val="16"/>
                        <w:szCs w:val="16"/>
                      </w:rPr>
                      <w:t>Phone: 61 2 8898 6500</w:t>
                    </w:r>
                  </w:p>
                  <w:p w14:paraId="3A7A67CA" w14:textId="77777777" w:rsidR="001F2A49" w:rsidRPr="00F7584D" w:rsidRDefault="001F2A49" w:rsidP="001F2A49">
                    <w:pPr>
                      <w:pStyle w:val="Footer"/>
                      <w:rPr>
                        <w:kern w:val="16"/>
                        <w:sz w:val="16"/>
                        <w:szCs w:val="16"/>
                      </w:rPr>
                    </w:pPr>
                    <w:r w:rsidRPr="00F7584D">
                      <w:rPr>
                        <w:kern w:val="16"/>
                        <w:sz w:val="16"/>
                        <w:szCs w:val="16"/>
                      </w:rPr>
                      <w:t>Fax: 61 2 8898 6555</w:t>
                    </w:r>
                  </w:p>
                  <w:p w14:paraId="04EC8B6D" w14:textId="77777777" w:rsidR="001F2A49" w:rsidRPr="00F7584D" w:rsidRDefault="001F2A49" w:rsidP="001F2A49">
                    <w:pPr>
                      <w:pStyle w:val="Footer"/>
                      <w:rPr>
                        <w:kern w:val="16"/>
                        <w:sz w:val="16"/>
                        <w:szCs w:val="16"/>
                      </w:rPr>
                    </w:pPr>
                    <w:r w:rsidRPr="00F7584D">
                      <w:rPr>
                        <w:kern w:val="16"/>
                        <w:sz w:val="16"/>
                        <w:szCs w:val="16"/>
                      </w:rPr>
                      <w:t>www.piac.asn.au</w:t>
                    </w:r>
                  </w:p>
                  <w:p w14:paraId="01AD7C50" w14:textId="77777777" w:rsidR="00D065BC" w:rsidRPr="00A13D83" w:rsidRDefault="001F2A49" w:rsidP="001F2A49">
                    <w:pPr>
                      <w:pStyle w:val="Footer"/>
                      <w:rPr>
                        <w:sz w:val="16"/>
                        <w:szCs w:val="16"/>
                      </w:rPr>
                    </w:pPr>
                    <w:r w:rsidRPr="00F7584D">
                      <w:rPr>
                        <w:kern w:val="16"/>
                        <w:sz w:val="16"/>
                        <w:szCs w:val="16"/>
                      </w:rPr>
                      <w:t>ABN: 77 002 773 524</w:t>
                    </w:r>
                  </w:p>
                </w:txbxContent>
              </v:textbox>
              <w10:wrap type="square"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58A88506" wp14:editId="54041750">
              <wp:simplePos x="0" y="0"/>
              <wp:positionH relativeFrom="column">
                <wp:posOffset>3381375</wp:posOffset>
              </wp:positionH>
              <wp:positionV relativeFrom="paragraph">
                <wp:posOffset>85090</wp:posOffset>
              </wp:positionV>
              <wp:extent cx="90170" cy="90170"/>
              <wp:effectExtent l="0" t="0" r="36830" b="3683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890029"/>
                      </a:solidFill>
                      <a:ln w="9525">
                        <a:solidFill>
                          <a:srgbClr val="89002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http://schemas.microsoft.com/office/word/2018/wordml" xmlns:w16cex="http://schemas.microsoft.com/office/word/2018/wordml/cex">
          <w:pict w14:anchorId="28AC77C8">
            <v:oval id="Oval 8" style="position:absolute;margin-left:266.25pt;margin-top:6.7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890029" strokecolor="#890029" w14:anchorId="38B12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"/>
          </w:pict>
        </mc:Fallback>
      </mc:AlternateContent>
    </w:r>
    <w:r>
      <w:rPr>
        <w:noProof/>
        <w:lang w:val="en-US"/>
      </w:rPr>
      <mc:AlternateContent>
        <mc:Choice Requires="wps">
          <w:drawing>
            <wp:anchor distT="4294967295" distB="4294967295" distL="114300" distR="114300" simplePos="0" relativeHeight="251658240" behindDoc="0" locked="0" layoutInCell="1" allowOverlap="1" wp14:anchorId="3BFF33A0" wp14:editId="486C599D">
              <wp:simplePos x="0" y="0"/>
              <wp:positionH relativeFrom="column">
                <wp:posOffset>3381375</wp:posOffset>
              </wp:positionH>
              <wp:positionV relativeFrom="paragraph">
                <wp:posOffset>132080</wp:posOffset>
              </wp:positionV>
              <wp:extent cx="1619885" cy="0"/>
              <wp:effectExtent l="0" t="0" r="31115"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5875">
                        <a:solidFill>
                          <a:srgbClr val="89002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http://schemas.microsoft.com/office/word/2018/wordml" xmlns:w16cex="http://schemas.microsoft.com/office/word/2018/wordml/cex">
          <w:pict w14:anchorId="79123CFE">
            <v:line id="Line 7"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890029" strokeweight="1.25pt" from="266.25pt,10.4pt" to="393.8pt,10.4pt" w14:anchorId="312EB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D1101" w14:textId="77777777" w:rsidR="000C4F4B" w:rsidRDefault="000C4F4B">
      <w:pPr>
        <w:spacing w:line="240" w:lineRule="auto"/>
      </w:pPr>
      <w:r>
        <w:separator/>
      </w:r>
    </w:p>
  </w:footnote>
  <w:footnote w:type="continuationSeparator" w:id="0">
    <w:p w14:paraId="7FC569A9" w14:textId="77777777" w:rsidR="000C4F4B" w:rsidRDefault="000C4F4B">
      <w:pPr>
        <w:spacing w:line="240" w:lineRule="auto"/>
      </w:pPr>
      <w:r>
        <w:continuationSeparator/>
      </w:r>
    </w:p>
  </w:footnote>
  <w:footnote w:id="1">
    <w:p w14:paraId="7FB6C9BA" w14:textId="276EBED7" w:rsidR="00906FEC" w:rsidRPr="00F559EB" w:rsidRDefault="00906FEC">
      <w:pPr>
        <w:pStyle w:val="FootnoteText"/>
      </w:pPr>
      <w:r>
        <w:rPr>
          <w:rStyle w:val="FootnoteReference"/>
        </w:rPr>
        <w:footnoteRef/>
      </w:r>
      <w:r>
        <w:t xml:space="preserve"> </w:t>
      </w:r>
      <w:r w:rsidR="00F559EB">
        <w:tab/>
      </w:r>
      <w:r w:rsidRPr="00F559EB">
        <w:t xml:space="preserve">Enel X, 2018. Submission to wholesale demand response mechanism consultation paper. </w:t>
      </w:r>
      <w:hyperlink r:id="rId1" w:history="1">
        <w:r w:rsidR="00F559EB" w:rsidRPr="006729EC">
          <w:rPr>
            <w:rStyle w:val="Hyperlink"/>
          </w:rPr>
          <w:t>https://www.aemc.gov.au/sites/default/files/2019-01/Enel%20X.pdf</w:t>
        </w:r>
      </w:hyperlink>
      <w:r w:rsidR="00F559EB">
        <w:t xml:space="preserve">, </w:t>
      </w:r>
      <w:r w:rsidRPr="00F559EB">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27E9" w14:textId="77777777" w:rsidR="00D065BC" w:rsidRDefault="00226F83">
    <w:pPr>
      <w:pStyle w:val="Header"/>
      <w:ind w:right="-6"/>
    </w:pPr>
    <w:r>
      <w:rPr>
        <w:noProof/>
        <w:lang w:val="en-US"/>
      </w:rPr>
      <w:drawing>
        <wp:anchor distT="0" distB="0" distL="114300" distR="114300" simplePos="0" relativeHeight="251662336" behindDoc="0" locked="0" layoutInCell="1" allowOverlap="1" wp14:anchorId="483469DC" wp14:editId="1DCDFC88">
          <wp:simplePos x="0" y="0"/>
          <wp:positionH relativeFrom="column">
            <wp:posOffset>4943475</wp:posOffset>
          </wp:positionH>
          <wp:positionV relativeFrom="paragraph">
            <wp:posOffset>-191135</wp:posOffset>
          </wp:positionV>
          <wp:extent cx="1296000" cy="1512000"/>
          <wp:effectExtent l="0" t="0" r="0" b="12065"/>
          <wp:wrapSquare wrapText="bothSides"/>
          <wp:docPr id="7" name="Picture 7" descr="/Users/scott/Desktop/2017/PIAC logo 350px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cott/Desktop/2017/PIAC logo 350px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7917"/>
    <w:multiLevelType w:val="hybridMultilevel"/>
    <w:tmpl w:val="9CE2FD1C"/>
    <w:lvl w:ilvl="0" w:tplc="E2ACB5B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2754E1"/>
    <w:multiLevelType w:val="hybridMultilevel"/>
    <w:tmpl w:val="22DE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76"/>
    <w:rsid w:val="00050811"/>
    <w:rsid w:val="0005400B"/>
    <w:rsid w:val="00071D2C"/>
    <w:rsid w:val="000C4F4B"/>
    <w:rsid w:val="000D607F"/>
    <w:rsid w:val="00155056"/>
    <w:rsid w:val="00174649"/>
    <w:rsid w:val="001B3ED8"/>
    <w:rsid w:val="001E16A4"/>
    <w:rsid w:val="001F2A49"/>
    <w:rsid w:val="002156A7"/>
    <w:rsid w:val="00226F83"/>
    <w:rsid w:val="0023676C"/>
    <w:rsid w:val="00250504"/>
    <w:rsid w:val="002B736B"/>
    <w:rsid w:val="00386196"/>
    <w:rsid w:val="003E7BD7"/>
    <w:rsid w:val="003F5EC4"/>
    <w:rsid w:val="004171FD"/>
    <w:rsid w:val="0043640A"/>
    <w:rsid w:val="00445CF9"/>
    <w:rsid w:val="00450FD2"/>
    <w:rsid w:val="004747D1"/>
    <w:rsid w:val="00496C42"/>
    <w:rsid w:val="004A1DA2"/>
    <w:rsid w:val="004A7445"/>
    <w:rsid w:val="00514E98"/>
    <w:rsid w:val="00540190"/>
    <w:rsid w:val="00571DAB"/>
    <w:rsid w:val="00576075"/>
    <w:rsid w:val="00576C5A"/>
    <w:rsid w:val="005A14BC"/>
    <w:rsid w:val="005A319F"/>
    <w:rsid w:val="005C4A46"/>
    <w:rsid w:val="006007F4"/>
    <w:rsid w:val="006511E3"/>
    <w:rsid w:val="00657F9B"/>
    <w:rsid w:val="00741CC9"/>
    <w:rsid w:val="00813F68"/>
    <w:rsid w:val="00816029"/>
    <w:rsid w:val="0083131E"/>
    <w:rsid w:val="00851D8E"/>
    <w:rsid w:val="008B0270"/>
    <w:rsid w:val="008C0B94"/>
    <w:rsid w:val="008E6A05"/>
    <w:rsid w:val="00901225"/>
    <w:rsid w:val="00903921"/>
    <w:rsid w:val="00906FEC"/>
    <w:rsid w:val="009250E9"/>
    <w:rsid w:val="009259FD"/>
    <w:rsid w:val="0094059F"/>
    <w:rsid w:val="00966B96"/>
    <w:rsid w:val="0099533A"/>
    <w:rsid w:val="00A13D83"/>
    <w:rsid w:val="00A62389"/>
    <w:rsid w:val="00B67AA1"/>
    <w:rsid w:val="00B74562"/>
    <w:rsid w:val="00B8728D"/>
    <w:rsid w:val="00B90D78"/>
    <w:rsid w:val="00BD5234"/>
    <w:rsid w:val="00BE4091"/>
    <w:rsid w:val="00BF3208"/>
    <w:rsid w:val="00C14407"/>
    <w:rsid w:val="00C36DE9"/>
    <w:rsid w:val="00C44AAB"/>
    <w:rsid w:val="00C82252"/>
    <w:rsid w:val="00CE457B"/>
    <w:rsid w:val="00D065BC"/>
    <w:rsid w:val="00D37D2B"/>
    <w:rsid w:val="00D924C7"/>
    <w:rsid w:val="00DD4EF0"/>
    <w:rsid w:val="00DE7476"/>
    <w:rsid w:val="00DF489C"/>
    <w:rsid w:val="00E027B3"/>
    <w:rsid w:val="00E02956"/>
    <w:rsid w:val="00E03783"/>
    <w:rsid w:val="00E4005C"/>
    <w:rsid w:val="00EB6A1C"/>
    <w:rsid w:val="00EF2549"/>
    <w:rsid w:val="00F21BA8"/>
    <w:rsid w:val="00F247FA"/>
    <w:rsid w:val="00F30E5D"/>
    <w:rsid w:val="00F559EB"/>
    <w:rsid w:val="00F971AA"/>
    <w:rsid w:val="00FA3AE0"/>
    <w:rsid w:val="00FA74E3"/>
    <w:rsid w:val="00FC6F9B"/>
    <w:rsid w:val="00FD2FE7"/>
    <w:rsid w:val="00FE5437"/>
    <w:rsid w:val="7CEC2BC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14E73"/>
  <w14:defaultImageDpi w14:val="300"/>
  <w15:docId w15:val="{6FF7161D-CE28-9845-A77C-9B18AE19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B96"/>
    <w:pPr>
      <w:spacing w:line="280" w:lineRule="exact"/>
    </w:pPr>
    <w:rPr>
      <w:rFonts w:ascii="Arial" w:hAnsi="Arial"/>
      <w:sz w:val="22"/>
    </w:rPr>
  </w:style>
  <w:style w:type="paragraph" w:styleId="Heading1">
    <w:name w:val="heading 1"/>
    <w:basedOn w:val="Normal"/>
    <w:next w:val="Normal"/>
    <w:qFormat/>
    <w:pPr>
      <w:keepNext/>
      <w:spacing w:before="240" w:after="240"/>
      <w:outlineLvl w:val="0"/>
    </w:pPr>
    <w:rPr>
      <w:b/>
      <w:kern w:val="32"/>
      <w:lang w:val="en-GB"/>
    </w:rPr>
  </w:style>
  <w:style w:type="paragraph" w:styleId="Heading2">
    <w:name w:val="heading 2"/>
    <w:basedOn w:val="Normal"/>
    <w:next w:val="Normal"/>
    <w:qFormat/>
    <w:pPr>
      <w:keepNext/>
      <w:spacing w:before="240"/>
      <w:outlineLvl w:val="1"/>
    </w:pPr>
    <w:rPr>
      <w:b/>
      <w:lang w:val="en-GB"/>
    </w:rPr>
  </w:style>
  <w:style w:type="paragraph" w:styleId="Heading3">
    <w:name w:val="heading 3"/>
    <w:basedOn w:val="Normal"/>
    <w:next w:val="Normal"/>
    <w:qFormat/>
    <w:pPr>
      <w:keepNext/>
      <w:spacing w:before="240"/>
      <w:outlineLvl w:val="2"/>
    </w:pPr>
    <w:rPr>
      <w:b/>
      <w:sz w:val="24"/>
      <w:szCs w:val="26"/>
      <w:lang w:val="en-GB"/>
    </w:rPr>
  </w:style>
  <w:style w:type="paragraph" w:styleId="Heading4">
    <w:name w:val="heading 4"/>
    <w:basedOn w:val="Normal"/>
    <w:next w:val="Normal"/>
    <w:qFormat/>
    <w:pPr>
      <w:keepNex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rYourReference">
    <w:name w:val="Our/Your Reference"/>
    <w:basedOn w:val="Normal"/>
    <w:pPr>
      <w:jc w:val="right"/>
    </w:pPr>
    <w:rPr>
      <w:noProof/>
      <w:sz w:val="20"/>
      <w:lang w:val="en-GB"/>
    </w:rPr>
  </w:style>
  <w:style w:type="paragraph" w:styleId="Header">
    <w:name w:val="header"/>
    <w:basedOn w:val="Normal"/>
    <w:pPr>
      <w:tabs>
        <w:tab w:val="center" w:pos="4320"/>
        <w:tab w:val="right" w:pos="8640"/>
      </w:tabs>
    </w:pPr>
    <w:rPr>
      <w:lang w:val="en-GB"/>
    </w:rPr>
  </w:style>
  <w:style w:type="paragraph" w:styleId="Footer">
    <w:name w:val="footer"/>
    <w:basedOn w:val="Normal"/>
    <w:link w:val="FooterChar"/>
    <w:pPr>
      <w:tabs>
        <w:tab w:val="center" w:pos="4320"/>
        <w:tab w:val="right" w:pos="8640"/>
      </w:tabs>
      <w:spacing w:line="200" w:lineRule="exact"/>
    </w:pPr>
    <w:rPr>
      <w:sz w:val="18"/>
      <w:lang w:val="en-GB"/>
    </w:rPr>
  </w:style>
  <w:style w:type="paragraph" w:customStyle="1" w:styleId="Text-SubHead">
    <w:name w:val="Text - Sub Head"/>
    <w:basedOn w:val="Normal"/>
    <w:next w:val="Normal"/>
    <w:rsid w:val="0024302F"/>
    <w:pPr>
      <w:widowControl w:val="0"/>
      <w:autoSpaceDE w:val="0"/>
      <w:autoSpaceDN w:val="0"/>
      <w:adjustRightInd w:val="0"/>
      <w:spacing w:line="260" w:lineRule="atLeast"/>
      <w:ind w:left="142" w:hanging="142"/>
      <w:textAlignment w:val="center"/>
    </w:pPr>
    <w:rPr>
      <w:b/>
      <w:color w:val="000000"/>
      <w:sz w:val="17"/>
      <w:lang w:val="en-GB"/>
    </w:rPr>
  </w:style>
  <w:style w:type="character" w:styleId="Hyperlink">
    <w:name w:val="Hyperlink"/>
    <w:uiPriority w:val="99"/>
    <w:unhideWhenUsed/>
    <w:rsid w:val="007020F4"/>
    <w:rPr>
      <w:color w:val="0000FF"/>
      <w:u w:val="single"/>
    </w:rPr>
  </w:style>
  <w:style w:type="character" w:customStyle="1" w:styleId="FooterChar">
    <w:name w:val="Footer Char"/>
    <w:link w:val="Footer"/>
    <w:rsid w:val="001F2A49"/>
    <w:rPr>
      <w:rFonts w:ascii="Arial" w:hAnsi="Arial"/>
      <w:sz w:val="18"/>
    </w:rPr>
  </w:style>
  <w:style w:type="paragraph" w:styleId="ListParagraph">
    <w:name w:val="List Paragraph"/>
    <w:basedOn w:val="Normal"/>
    <w:uiPriority w:val="34"/>
    <w:qFormat/>
    <w:rsid w:val="00FA3AE0"/>
    <w:pPr>
      <w:ind w:left="720"/>
      <w:contextualSpacing/>
    </w:pPr>
  </w:style>
  <w:style w:type="paragraph" w:styleId="Title">
    <w:name w:val="Title"/>
    <w:basedOn w:val="Normal"/>
    <w:next w:val="Normal"/>
    <w:link w:val="TitleChar"/>
    <w:uiPriority w:val="10"/>
    <w:qFormat/>
    <w:rsid w:val="00FA3AE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AE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B90D78"/>
    <w:rPr>
      <w:color w:val="605E5C"/>
      <w:shd w:val="clear" w:color="auto" w:fill="E1DFDD"/>
    </w:rPr>
  </w:style>
  <w:style w:type="paragraph" w:styleId="Quote">
    <w:name w:val="Quote"/>
    <w:basedOn w:val="Normal"/>
    <w:next w:val="Normal"/>
    <w:link w:val="QuoteChar"/>
    <w:uiPriority w:val="29"/>
    <w:qFormat/>
    <w:rsid w:val="00B67AA1"/>
    <w:pPr>
      <w:adjustRightInd w:val="0"/>
      <w:snapToGrid w:val="0"/>
      <w:ind w:left="567" w:right="567"/>
    </w:pPr>
    <w:rPr>
      <w:iCs/>
      <w:color w:val="404040" w:themeColor="text1" w:themeTint="BF"/>
      <w:sz w:val="20"/>
    </w:rPr>
  </w:style>
  <w:style w:type="character" w:customStyle="1" w:styleId="QuoteChar">
    <w:name w:val="Quote Char"/>
    <w:basedOn w:val="DefaultParagraphFont"/>
    <w:link w:val="Quote"/>
    <w:uiPriority w:val="29"/>
    <w:rsid w:val="00B67AA1"/>
    <w:rPr>
      <w:rFonts w:ascii="Arial" w:hAnsi="Arial"/>
      <w:iCs/>
      <w:color w:val="404040" w:themeColor="text1" w:themeTint="BF"/>
    </w:rPr>
  </w:style>
  <w:style w:type="paragraph" w:styleId="FootnoteText">
    <w:name w:val="footnote text"/>
    <w:basedOn w:val="Normal"/>
    <w:link w:val="FootnoteTextChar"/>
    <w:uiPriority w:val="99"/>
    <w:semiHidden/>
    <w:unhideWhenUsed/>
    <w:rsid w:val="00F559EB"/>
    <w:pPr>
      <w:spacing w:line="240" w:lineRule="auto"/>
      <w:ind w:left="567" w:hanging="567"/>
    </w:pPr>
    <w:rPr>
      <w:sz w:val="20"/>
    </w:rPr>
  </w:style>
  <w:style w:type="character" w:customStyle="1" w:styleId="FootnoteTextChar">
    <w:name w:val="Footnote Text Char"/>
    <w:basedOn w:val="DefaultParagraphFont"/>
    <w:link w:val="FootnoteText"/>
    <w:uiPriority w:val="99"/>
    <w:semiHidden/>
    <w:rsid w:val="00F559EB"/>
    <w:rPr>
      <w:rFonts w:ascii="Arial" w:hAnsi="Arial"/>
    </w:rPr>
  </w:style>
  <w:style w:type="character" w:styleId="FootnoteReference">
    <w:name w:val="footnote reference"/>
    <w:basedOn w:val="DefaultParagraphFont"/>
    <w:uiPriority w:val="99"/>
    <w:semiHidden/>
    <w:unhideWhenUsed/>
    <w:rsid w:val="000D607F"/>
    <w:rPr>
      <w:vertAlign w:val="superscript"/>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0811"/>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50811"/>
    <w:rPr>
      <w:sz w:val="18"/>
      <w:szCs w:val="18"/>
    </w:rPr>
  </w:style>
  <w:style w:type="paragraph" w:styleId="CommentSubject">
    <w:name w:val="annotation subject"/>
    <w:basedOn w:val="CommentText"/>
    <w:next w:val="CommentText"/>
    <w:link w:val="CommentSubjectChar"/>
    <w:uiPriority w:val="99"/>
    <w:semiHidden/>
    <w:unhideWhenUsed/>
    <w:rsid w:val="00F247FA"/>
    <w:rPr>
      <w:b/>
      <w:bCs/>
    </w:rPr>
  </w:style>
  <w:style w:type="character" w:customStyle="1" w:styleId="CommentSubjectChar">
    <w:name w:val="Comment Subject Char"/>
    <w:basedOn w:val="CommentTextChar"/>
    <w:link w:val="CommentSubject"/>
    <w:uiPriority w:val="99"/>
    <w:semiHidden/>
    <w:rsid w:val="00F247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r@aemo.com.au"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emc.gov.au/sites/default/files/2019-01/Enel%20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7872-85EA-EB43-829A-17A52C5F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letter</vt:lpstr>
    </vt:vector>
  </TitlesOfParts>
  <Manager/>
  <Company>Public Interest Advocacy Centre</Company>
  <LinksUpToDate>false</LinksUpToDate>
  <CharactersWithSpaces>7641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Microsoft Office User</dc:creator>
  <cp:keywords/>
  <dc:description/>
  <cp:lastModifiedBy>Anna Livsey</cp:lastModifiedBy>
  <cp:revision>4</cp:revision>
  <cp:lastPrinted>2017-06-13T22:39:00Z</cp:lastPrinted>
  <dcterms:created xsi:type="dcterms:W3CDTF">2020-12-01T03:15:00Z</dcterms:created>
  <dcterms:modified xsi:type="dcterms:W3CDTF">2020-12-01T04:04:00Z</dcterms:modified>
  <cp:category/>
</cp:coreProperties>
</file>