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8CBB" w14:textId="77777777" w:rsidR="00C330B2" w:rsidRDefault="00C330B2" w:rsidP="00F96497">
      <w:pPr>
        <w:pStyle w:val="NumberedHeading1"/>
        <w:numPr>
          <w:ilvl w:val="0"/>
          <w:numId w:val="0"/>
        </w:numPr>
        <w:ind w:left="851" w:hanging="851"/>
      </w:pPr>
    </w:p>
    <w:p w14:paraId="78C5C7FC" w14:textId="77777777" w:rsidR="00C330B2" w:rsidRDefault="00C330B2">
      <w:pPr>
        <w:ind w:left="-567"/>
      </w:pPr>
    </w:p>
    <w:p w14:paraId="5695F785" w14:textId="77777777" w:rsidR="00C330B2" w:rsidRDefault="00C330B2">
      <w:pPr>
        <w:ind w:left="-567"/>
      </w:pPr>
    </w:p>
    <w:p w14:paraId="52459596" w14:textId="77777777" w:rsidR="00C330B2" w:rsidRDefault="00517B2D">
      <w:pPr>
        <w:ind w:left="-567"/>
      </w:pPr>
      <w:r>
        <w:rPr>
          <w:noProof/>
          <w:lang w:val="en-US"/>
        </w:rPr>
        <mc:AlternateContent>
          <mc:Choice Requires="wps">
            <w:drawing>
              <wp:anchor distT="0" distB="0" distL="114300" distR="114300" simplePos="0" relativeHeight="251656704" behindDoc="0" locked="0" layoutInCell="1" allowOverlap="1" wp14:anchorId="57602F85" wp14:editId="04AB44D0">
                <wp:simplePos x="0" y="0"/>
                <wp:positionH relativeFrom="column">
                  <wp:posOffset>622935</wp:posOffset>
                </wp:positionH>
                <wp:positionV relativeFrom="paragraph">
                  <wp:posOffset>183515</wp:posOffset>
                </wp:positionV>
                <wp:extent cx="5029200" cy="15316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531620"/>
                        </a:xfrm>
                        <a:prstGeom prst="rect">
                          <a:avLst/>
                        </a:prstGeom>
                        <a:solidFill>
                          <a:srgbClr val="FFFFFF"/>
                        </a:solidFill>
                        <a:ln w="9525">
                          <a:solidFill>
                            <a:srgbClr val="000000"/>
                          </a:solidFill>
                          <a:miter lim="800000"/>
                          <a:headEnd/>
                          <a:tailEnd/>
                        </a:ln>
                      </wps:spPr>
                      <wps:txbx>
                        <w:txbxContent>
                          <w:p w14:paraId="4CE24255" w14:textId="6F11A7C5" w:rsidR="00B82AD1" w:rsidRPr="00EC7B6E" w:rsidRDefault="00B82AD1" w:rsidP="00705E1E">
                            <w:pPr>
                              <w:pStyle w:val="Titleofsubmission"/>
                            </w:pPr>
                            <w:r>
                              <w:t>Regulation of the energy wild west: Stand</w:t>
                            </w:r>
                            <w:r>
                              <w:noBreakHyphen/>
                              <w:t xml:space="preserve">alone systems in the electricity market </w:t>
                            </w:r>
                          </w:p>
                          <w:p w14:paraId="1F179524" w14:textId="409A5730" w:rsidR="00B82AD1" w:rsidRPr="00EC7B6E" w:rsidRDefault="00B82AD1" w:rsidP="00705E1E">
                            <w:pPr>
                              <w:pStyle w:val="DateAuthor"/>
                            </w:pPr>
                            <w:r>
                              <w:t>04 October 2016</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05pt;margin-top:14.45pt;width:396pt;height:12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">
                <v:textbox inset="5mm,,5mm">
                  <w:txbxContent>
                    <w:p w14:paraId="4CE24255" w14:textId="6F11A7C5" w:rsidR="00B82AD1" w:rsidRPr="00EC7B6E" w:rsidRDefault="00B82AD1" w:rsidP="00705E1E">
                      <w:pPr>
                        <w:pStyle w:val="Titleofsubmission"/>
                      </w:pPr>
                      <w:r>
                        <w:t>Regulation of the energy wild west: Stand</w:t>
                      </w:r>
                      <w:r>
                        <w:noBreakHyphen/>
                        <w:t xml:space="preserve">alone systems in the electricity market </w:t>
                      </w:r>
                    </w:p>
                    <w:p w14:paraId="1F179524" w14:textId="409A5730" w:rsidR="00B82AD1" w:rsidRPr="00EC7B6E" w:rsidRDefault="00B82AD1" w:rsidP="00705E1E">
                      <w:pPr>
                        <w:pStyle w:val="DateAuthor"/>
                      </w:pPr>
                      <w:r>
                        <w:t>04 October 2016</w:t>
                      </w:r>
                    </w:p>
                  </w:txbxContent>
                </v:textbox>
              </v:shape>
            </w:pict>
          </mc:Fallback>
        </mc:AlternateContent>
      </w:r>
    </w:p>
    <w:p w14:paraId="52888763" w14:textId="77777777" w:rsidR="00C330B2" w:rsidRDefault="00C330B2">
      <w:pPr>
        <w:ind w:left="-567"/>
      </w:pPr>
    </w:p>
    <w:p w14:paraId="5ABED062" w14:textId="77777777" w:rsidR="00C330B2" w:rsidRDefault="00C330B2">
      <w:pPr>
        <w:ind w:left="-567"/>
      </w:pPr>
    </w:p>
    <w:p w14:paraId="654D1D43" w14:textId="77777777" w:rsidR="00C330B2" w:rsidRDefault="00C330B2">
      <w:pPr>
        <w:ind w:left="-567"/>
      </w:pPr>
    </w:p>
    <w:p w14:paraId="5A686F20" w14:textId="77777777" w:rsidR="00C330B2" w:rsidRDefault="00C330B2">
      <w:pPr>
        <w:ind w:left="-567"/>
      </w:pPr>
    </w:p>
    <w:p w14:paraId="737C0C04" w14:textId="77777777" w:rsidR="00C330B2" w:rsidRDefault="00C330B2">
      <w:pPr>
        <w:ind w:left="-567"/>
      </w:pPr>
    </w:p>
    <w:p w14:paraId="78E5FD25" w14:textId="77777777" w:rsidR="00C330B2" w:rsidRDefault="00C330B2">
      <w:pPr>
        <w:ind w:left="-567"/>
      </w:pPr>
    </w:p>
    <w:p w14:paraId="2A2D72D9" w14:textId="77777777" w:rsidR="00C330B2" w:rsidRDefault="00C330B2">
      <w:pPr>
        <w:ind w:left="-567"/>
      </w:pPr>
    </w:p>
    <w:p w14:paraId="2C9BB2CB" w14:textId="77777777" w:rsidR="00C330B2" w:rsidRDefault="00517B2D">
      <w:pPr>
        <w:ind w:left="-567"/>
      </w:pPr>
      <w:r>
        <w:rPr>
          <w:noProof/>
          <w:lang w:val="en-US"/>
        </w:rPr>
        <mc:AlternateContent>
          <mc:Choice Requires="wps">
            <w:drawing>
              <wp:anchor distT="0" distB="0" distL="114300" distR="114300" simplePos="0" relativeHeight="251657728" behindDoc="1" locked="0" layoutInCell="1" allowOverlap="1" wp14:anchorId="04504346" wp14:editId="16317FAB">
                <wp:simplePos x="0" y="0"/>
                <wp:positionH relativeFrom="column">
                  <wp:posOffset>-291465</wp:posOffset>
                </wp:positionH>
                <wp:positionV relativeFrom="paragraph">
                  <wp:posOffset>167640</wp:posOffset>
                </wp:positionV>
                <wp:extent cx="52578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rgbClr val="890029"/>
                        </a:solidFill>
                        <a:ln w="9525">
                          <a:solidFill>
                            <a:srgbClr val="890029"/>
                          </a:solidFill>
                          <a:miter lim="800000"/>
                          <a:headEnd/>
                          <a:tailEnd/>
                        </a:ln>
                      </wps:spPr>
                      <wps:txbx>
                        <w:txbxContent>
                          <w:p w14:paraId="20AF6CE5" w14:textId="77777777" w:rsidR="00B82AD1" w:rsidRDefault="00B82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2.9pt;margin-top:13.2pt;width:41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" fillcolor="#890029" strokecolor="#890029">
                <v:textbox>
                  <w:txbxContent>
                    <w:p w14:paraId="20AF6CE5" w14:textId="77777777" w:rsidR="00FC3E54" w:rsidRDefault="00FC3E54"/>
                  </w:txbxContent>
                </v:textbox>
              </v:shape>
            </w:pict>
          </mc:Fallback>
        </mc:AlternateContent>
      </w:r>
    </w:p>
    <w:p w14:paraId="6C26E5EB" w14:textId="77777777" w:rsidR="00C330B2" w:rsidRDefault="00C330B2">
      <w:pPr>
        <w:ind w:left="-567"/>
      </w:pPr>
    </w:p>
    <w:p w14:paraId="2B4F4FD9" w14:textId="77777777" w:rsidR="00C330B2" w:rsidRDefault="00C330B2">
      <w:pPr>
        <w:ind w:left="-567"/>
      </w:pPr>
    </w:p>
    <w:p w14:paraId="1CB70BD4" w14:textId="77777777" w:rsidR="00C330B2" w:rsidRDefault="00C330B2">
      <w:pPr>
        <w:ind w:left="-567"/>
      </w:pPr>
    </w:p>
    <w:p w14:paraId="354D8F3F" w14:textId="77777777" w:rsidR="00C330B2" w:rsidRDefault="00C330B2">
      <w:pPr>
        <w:ind w:left="-567"/>
      </w:pPr>
    </w:p>
    <w:p w14:paraId="7B7D2572" w14:textId="77777777" w:rsidR="00C330B2" w:rsidRDefault="00C330B2">
      <w:pPr>
        <w:ind w:left="-567"/>
      </w:pPr>
    </w:p>
    <w:p w14:paraId="0B128426" w14:textId="77777777" w:rsidR="00C330B2" w:rsidRDefault="00C330B2">
      <w:pPr>
        <w:ind w:left="-567"/>
      </w:pPr>
    </w:p>
    <w:p w14:paraId="6064517C" w14:textId="77777777" w:rsidR="00C330B2" w:rsidRDefault="00C330B2">
      <w:pPr>
        <w:ind w:left="-567"/>
      </w:pPr>
    </w:p>
    <w:p w14:paraId="0396FE48" w14:textId="77777777" w:rsidR="00C330B2" w:rsidRDefault="00C330B2">
      <w:pPr>
        <w:ind w:left="-567"/>
      </w:pPr>
    </w:p>
    <w:p w14:paraId="52A5C9C6" w14:textId="77777777" w:rsidR="00C330B2" w:rsidRDefault="00C330B2">
      <w:pPr>
        <w:ind w:left="-567"/>
      </w:pPr>
    </w:p>
    <w:p w14:paraId="3D3AA4EB" w14:textId="77777777" w:rsidR="00C330B2" w:rsidRDefault="00C330B2">
      <w:pPr>
        <w:ind w:left="-567"/>
      </w:pPr>
    </w:p>
    <w:p w14:paraId="0DD5AC1B" w14:textId="77777777" w:rsidR="00C330B2" w:rsidRDefault="00C330B2">
      <w:pPr>
        <w:ind w:left="-567"/>
      </w:pPr>
    </w:p>
    <w:p w14:paraId="59384E64" w14:textId="77777777" w:rsidR="00C330B2" w:rsidRDefault="00517B2D">
      <w:pPr>
        <w:ind w:left="-567"/>
      </w:pPr>
      <w:r>
        <w:rPr>
          <w:noProof/>
          <w:lang w:val="en-US"/>
        </w:rPr>
        <mc:AlternateContent>
          <mc:Choice Requires="wps">
            <w:drawing>
              <wp:anchor distT="0" distB="0" distL="114300" distR="114300" simplePos="0" relativeHeight="251658752" behindDoc="0" locked="0" layoutInCell="1" allowOverlap="1" wp14:anchorId="03FB6F2F" wp14:editId="4E7F1B1A">
                <wp:simplePos x="0" y="0"/>
                <wp:positionH relativeFrom="column">
                  <wp:posOffset>622935</wp:posOffset>
                </wp:positionH>
                <wp:positionV relativeFrom="paragraph">
                  <wp:posOffset>167639</wp:posOffset>
                </wp:positionV>
                <wp:extent cx="5029200" cy="799465"/>
                <wp:effectExtent l="0" t="0" r="25400"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99465"/>
                        </a:xfrm>
                        <a:prstGeom prst="rect">
                          <a:avLst/>
                        </a:prstGeom>
                        <a:solidFill>
                          <a:srgbClr val="FFFFFF"/>
                        </a:solidFill>
                        <a:ln w="9525">
                          <a:solidFill>
                            <a:srgbClr val="000000"/>
                          </a:solidFill>
                          <a:miter lim="800000"/>
                          <a:headEnd/>
                          <a:tailEnd/>
                        </a:ln>
                      </wps:spPr>
                      <wps:txbx>
                        <w:txbxContent>
                          <w:p w14:paraId="37DD1FB0" w14:textId="34052EAA" w:rsidR="00B82AD1" w:rsidRDefault="00B82AD1" w:rsidP="00705E1E">
                            <w:pPr>
                              <w:pStyle w:val="DateAuthor"/>
                            </w:pPr>
                            <w:r>
                              <w:t>Kristal Burry, Policy Officer</w:t>
                            </w:r>
                          </w:p>
                          <w:p w14:paraId="337BEB78" w14:textId="5BB10632" w:rsidR="00B82AD1" w:rsidRDefault="00B82AD1" w:rsidP="00705E1E">
                            <w:pPr>
                              <w:pStyle w:val="DateAuthor"/>
                            </w:pPr>
                            <w:r>
                              <w:t xml:space="preserve">Energy + Water Consumers’ Advocacy Program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9.05pt;margin-top:13.2pt;width:396pt;height:6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">
                <v:textbox inset="5mm,,5mm">
                  <w:txbxContent>
                    <w:p w14:paraId="37DD1FB0" w14:textId="34052EAA" w:rsidR="00FC3E54" w:rsidRDefault="00FC3E54" w:rsidP="00705E1E">
                      <w:pPr>
                        <w:pStyle w:val="DateAuthor"/>
                      </w:pPr>
                      <w:r>
                        <w:t>Kristal Burry, Policy Officer</w:t>
                      </w:r>
                    </w:p>
                    <w:p w14:paraId="337BEB78" w14:textId="5BB10632" w:rsidR="00FC3E54" w:rsidRDefault="00FC3E54" w:rsidP="00705E1E">
                      <w:pPr>
                        <w:pStyle w:val="DateAuthor"/>
                      </w:pPr>
                      <w:r>
                        <w:t xml:space="preserve">Energy + Water Consumers’ Advocacy Program </w:t>
                      </w:r>
                    </w:p>
                  </w:txbxContent>
                </v:textbox>
              </v:shape>
            </w:pict>
          </mc:Fallback>
        </mc:AlternateContent>
      </w:r>
    </w:p>
    <w:p w14:paraId="60243036" w14:textId="77777777" w:rsidR="00C330B2" w:rsidRDefault="00C330B2">
      <w:pPr>
        <w:ind w:left="-567"/>
      </w:pPr>
    </w:p>
    <w:p w14:paraId="675A784F" w14:textId="77777777" w:rsidR="00C330B2" w:rsidRDefault="00C330B2">
      <w:pPr>
        <w:ind w:left="-567"/>
      </w:pPr>
    </w:p>
    <w:p w14:paraId="14C64FBC" w14:textId="77777777" w:rsidR="00C330B2" w:rsidRDefault="00C330B2">
      <w:pPr>
        <w:ind w:left="-567"/>
      </w:pPr>
    </w:p>
    <w:p w14:paraId="16ED9B64" w14:textId="77777777" w:rsidR="00C330B2" w:rsidRDefault="00C330B2">
      <w:pPr>
        <w:ind w:left="-567"/>
      </w:pPr>
    </w:p>
    <w:p w14:paraId="346F18BB" w14:textId="77777777" w:rsidR="00C330B2" w:rsidRDefault="00C330B2">
      <w:pPr>
        <w:ind w:left="-567"/>
      </w:pPr>
    </w:p>
    <w:p w14:paraId="251489C3" w14:textId="77777777" w:rsidR="00C330B2" w:rsidRDefault="00C330B2">
      <w:pPr>
        <w:ind w:left="-567"/>
      </w:pPr>
    </w:p>
    <w:p w14:paraId="1FF5D0CA" w14:textId="77777777" w:rsidR="00C330B2" w:rsidRDefault="00C330B2">
      <w:pPr>
        <w:ind w:left="-567"/>
      </w:pPr>
    </w:p>
    <w:p w14:paraId="34578BC8" w14:textId="77777777" w:rsidR="00C330B2" w:rsidRDefault="00C330B2">
      <w:pPr>
        <w:ind w:left="-567"/>
      </w:pPr>
    </w:p>
    <w:p w14:paraId="1D9A4C8D" w14:textId="77777777" w:rsidR="00C330B2" w:rsidRDefault="00C330B2">
      <w:pPr>
        <w:ind w:left="-567"/>
      </w:pPr>
    </w:p>
    <w:p w14:paraId="43778F58" w14:textId="77777777" w:rsidR="00C330B2" w:rsidRDefault="00C330B2">
      <w:pPr>
        <w:ind w:left="-567"/>
      </w:pPr>
    </w:p>
    <w:p w14:paraId="5CC2FFCE" w14:textId="77777777" w:rsidR="00C330B2" w:rsidRDefault="00C330B2">
      <w:pPr>
        <w:ind w:left="-567"/>
      </w:pPr>
    </w:p>
    <w:p w14:paraId="3FDC5DB3" w14:textId="77777777" w:rsidR="00C330B2" w:rsidRDefault="00C330B2">
      <w:pPr>
        <w:ind w:left="-567"/>
      </w:pPr>
    </w:p>
    <w:p w14:paraId="04036A08" w14:textId="77777777" w:rsidR="00C330B2" w:rsidRDefault="00C330B2">
      <w:pPr>
        <w:ind w:left="-567"/>
      </w:pPr>
    </w:p>
    <w:p w14:paraId="12076BC2" w14:textId="77777777" w:rsidR="00C330B2" w:rsidRDefault="00521EFA" w:rsidP="00521EFA">
      <w:pPr>
        <w:tabs>
          <w:tab w:val="left" w:pos="427"/>
        </w:tabs>
        <w:ind w:left="-567"/>
      </w:pPr>
      <w:r>
        <w:tab/>
      </w:r>
    </w:p>
    <w:p w14:paraId="41BDA374" w14:textId="77777777" w:rsidR="00521EFA" w:rsidRDefault="00521EFA" w:rsidP="00521EFA">
      <w:pPr>
        <w:tabs>
          <w:tab w:val="left" w:pos="427"/>
        </w:tabs>
        <w:ind w:left="-567"/>
      </w:pPr>
    </w:p>
    <w:p w14:paraId="233478E7" w14:textId="77777777" w:rsidR="00521EFA" w:rsidRDefault="00521EFA" w:rsidP="00521EFA">
      <w:pPr>
        <w:tabs>
          <w:tab w:val="left" w:pos="427"/>
        </w:tabs>
        <w:ind w:left="-567"/>
      </w:pPr>
    </w:p>
    <w:p w14:paraId="2F0EEEA4" w14:textId="77777777" w:rsidR="00521EFA" w:rsidRDefault="00521EFA" w:rsidP="00521EFA">
      <w:pPr>
        <w:tabs>
          <w:tab w:val="left" w:pos="427"/>
        </w:tabs>
        <w:ind w:left="-567"/>
      </w:pPr>
    </w:p>
    <w:p w14:paraId="6AE5D04F" w14:textId="77777777" w:rsidR="00521EFA" w:rsidRDefault="00521EFA" w:rsidP="00521EFA">
      <w:pPr>
        <w:tabs>
          <w:tab w:val="left" w:pos="427"/>
        </w:tabs>
        <w:ind w:left="-567"/>
      </w:pPr>
    </w:p>
    <w:p w14:paraId="0D755286" w14:textId="77777777" w:rsidR="00521EFA" w:rsidRDefault="00521EFA" w:rsidP="00521EFA">
      <w:pPr>
        <w:tabs>
          <w:tab w:val="left" w:pos="427"/>
        </w:tabs>
        <w:ind w:left="-567"/>
      </w:pPr>
    </w:p>
    <w:p w14:paraId="68EBA0D7" w14:textId="77777777" w:rsidR="00521EFA" w:rsidRDefault="00521EFA" w:rsidP="00521EFA">
      <w:pPr>
        <w:tabs>
          <w:tab w:val="left" w:pos="427"/>
        </w:tabs>
        <w:ind w:left="-567"/>
      </w:pPr>
    </w:p>
    <w:p w14:paraId="328640DB" w14:textId="77777777" w:rsidR="00C330B2" w:rsidRDefault="00C330B2">
      <w:pPr>
        <w:ind w:left="-567"/>
      </w:pPr>
    </w:p>
    <w:p w14:paraId="6372E8D9" w14:textId="77777777" w:rsidR="00C330B2" w:rsidRDefault="00C330B2">
      <w:pPr>
        <w:ind w:left="-567"/>
      </w:pPr>
    </w:p>
    <w:p w14:paraId="4A5BBE20" w14:textId="77777777" w:rsidR="00C330B2" w:rsidRDefault="00C330B2">
      <w:pPr>
        <w:ind w:left="-567"/>
      </w:pPr>
    </w:p>
    <w:p w14:paraId="3C999DAE" w14:textId="77777777" w:rsidR="00C330B2" w:rsidRDefault="00C330B2">
      <w:pPr>
        <w:ind w:left="-567"/>
      </w:pPr>
    </w:p>
    <w:p w14:paraId="6C42DDB2" w14:textId="77777777" w:rsidR="00C330B2" w:rsidRDefault="00C330B2">
      <w:pPr>
        <w:ind w:left="-567"/>
      </w:pPr>
    </w:p>
    <w:p w14:paraId="1B5DE7B1" w14:textId="77777777" w:rsidR="00C330B2" w:rsidRDefault="00C330B2">
      <w:pPr>
        <w:sectPr w:rsidR="00C330B2">
          <w:headerReference w:type="default" r:id="rId9"/>
          <w:footerReference w:type="default" r:id="rId10"/>
          <w:pgSz w:w="11901" w:h="16840"/>
          <w:pgMar w:top="4253" w:right="992" w:bottom="1134" w:left="1418" w:header="851" w:footer="822" w:gutter="0"/>
          <w:cols w:space="720"/>
        </w:sectPr>
      </w:pPr>
    </w:p>
    <w:p w14:paraId="7C8E3FD2" w14:textId="77777777" w:rsidR="00C330B2" w:rsidRPr="00E14658" w:rsidRDefault="00C330B2" w:rsidP="00F96497">
      <w:pPr>
        <w:pStyle w:val="Heading1"/>
      </w:pPr>
      <w:bookmarkStart w:id="0" w:name="_Toc113434256"/>
      <w:r w:rsidRPr="00E14658">
        <w:t xml:space="preserve">The Public </w:t>
      </w:r>
      <w:r w:rsidRPr="00705E1E">
        <w:t>Interest</w:t>
      </w:r>
      <w:r w:rsidRPr="00E14658">
        <w:t xml:space="preserve"> Advocacy Centre</w:t>
      </w:r>
      <w:bookmarkEnd w:id="0"/>
    </w:p>
    <w:p w14:paraId="78336946" w14:textId="77777777" w:rsidR="00C330B2" w:rsidRDefault="00C330B2" w:rsidP="00C330B2">
      <w:r>
        <w:t>The Public Interest Advocacy Centre (PIAC) is an independent, non-profit law and policy organisation that works for a fair, just and democratic society, empowering citizens, consumers and communities by taking strategic action on public interest issues.</w:t>
      </w:r>
    </w:p>
    <w:p w14:paraId="675AAAB9" w14:textId="77777777" w:rsidR="00C330B2" w:rsidRDefault="00C330B2"/>
    <w:p w14:paraId="1C5464A2" w14:textId="3BBD307A" w:rsidR="00C330B2" w:rsidRDefault="00C330B2">
      <w:r>
        <w:t>PIAC identifies public interest issues and, where possible and appropriate, works cooperatively with other organisations to advocate for individuals and groups affected. PIAC seeks to:</w:t>
      </w:r>
    </w:p>
    <w:p w14:paraId="6CA56421" w14:textId="77777777" w:rsidR="00C330B2" w:rsidRDefault="00C330B2"/>
    <w:p w14:paraId="1FFF388E" w14:textId="77777777" w:rsidR="00C330B2" w:rsidRDefault="00C330B2">
      <w:pPr>
        <w:pStyle w:val="BullettedList"/>
      </w:pPr>
      <w:proofErr w:type="gramStart"/>
      <w:r>
        <w:t>expose</w:t>
      </w:r>
      <w:proofErr w:type="gramEnd"/>
      <w:r>
        <w:t xml:space="preserve"> and redress unjust or unsafe practices, deficient laws or policies;</w:t>
      </w:r>
    </w:p>
    <w:p w14:paraId="1D296F16" w14:textId="77777777" w:rsidR="00C330B2" w:rsidRDefault="00C330B2">
      <w:pPr>
        <w:pStyle w:val="BullettedList"/>
      </w:pPr>
      <w:proofErr w:type="gramStart"/>
      <w:r>
        <w:t>promote</w:t>
      </w:r>
      <w:proofErr w:type="gramEnd"/>
      <w:r>
        <w:t xml:space="preserve"> accountable, transparent and responsive government;</w:t>
      </w:r>
    </w:p>
    <w:p w14:paraId="59976E1D" w14:textId="77777777" w:rsidR="00C330B2" w:rsidRDefault="00C330B2" w:rsidP="00C330B2">
      <w:pPr>
        <w:pStyle w:val="BullettedList"/>
      </w:pPr>
      <w:proofErr w:type="gramStart"/>
      <w:r>
        <w:t>encourage</w:t>
      </w:r>
      <w:proofErr w:type="gramEnd"/>
      <w:r>
        <w:t xml:space="preserve">, influence and inform public debate on issues affecting </w:t>
      </w:r>
      <w:r w:rsidR="004B4501">
        <w:t>legal and democratic rights;</w:t>
      </w:r>
    </w:p>
    <w:p w14:paraId="2168478C" w14:textId="77777777" w:rsidR="00C330B2" w:rsidRDefault="00C330B2">
      <w:pPr>
        <w:pStyle w:val="BullettedList"/>
      </w:pPr>
      <w:proofErr w:type="gramStart"/>
      <w:r>
        <w:t>promote</w:t>
      </w:r>
      <w:proofErr w:type="gramEnd"/>
      <w:r>
        <w:t xml:space="preserve"> the development of law that reflects the public interest;</w:t>
      </w:r>
    </w:p>
    <w:p w14:paraId="388D86C0" w14:textId="77777777" w:rsidR="00C330B2" w:rsidRDefault="00C330B2">
      <w:pPr>
        <w:pStyle w:val="BullettedList"/>
      </w:pPr>
      <w:proofErr w:type="gramStart"/>
      <w:r>
        <w:t>develop</w:t>
      </w:r>
      <w:proofErr w:type="gramEnd"/>
      <w:r>
        <w:t xml:space="preserve"> and assist community organisations with a public interest focus to pursue the interests of the communities they represent;</w:t>
      </w:r>
    </w:p>
    <w:p w14:paraId="287732C4" w14:textId="77777777" w:rsidR="00C330B2" w:rsidRDefault="00C330B2">
      <w:pPr>
        <w:pStyle w:val="BullettedList"/>
      </w:pPr>
      <w:proofErr w:type="gramStart"/>
      <w:r>
        <w:t>develop</w:t>
      </w:r>
      <w:proofErr w:type="gramEnd"/>
      <w:r>
        <w:t xml:space="preserve"> models to respond to unmet legal need; and</w:t>
      </w:r>
    </w:p>
    <w:p w14:paraId="7FE359D3" w14:textId="77777777" w:rsidR="00C330B2" w:rsidRPr="00EC7B6E" w:rsidRDefault="00C330B2" w:rsidP="00C330B2">
      <w:pPr>
        <w:pStyle w:val="BullettedList"/>
      </w:pPr>
      <w:proofErr w:type="gramStart"/>
      <w:r w:rsidRPr="00EC7B6E">
        <w:t>maintain</w:t>
      </w:r>
      <w:proofErr w:type="gramEnd"/>
      <w:r w:rsidRPr="00EC7B6E">
        <w:t xml:space="preserve"> an effective and sustainable organisation.</w:t>
      </w:r>
    </w:p>
    <w:p w14:paraId="4FF9DE93" w14:textId="77777777" w:rsidR="00C330B2" w:rsidRDefault="00C330B2"/>
    <w:p w14:paraId="3FDC8F09" w14:textId="77777777" w:rsidR="00C330B2" w:rsidRDefault="00C330B2" w:rsidP="00C330B2">
      <w:r>
        <w:t xml:space="preserve">Established in July 1982 as an initiative of the (then) Law Foundation of New South Wales, with support from the NSW Legal Aid Commission, PIAC was the first, and remains the only broadly based public interest legal centre in Australia.  Financial support for PIAC comes primarily from the NSW Public Purpose Fund and the Commonwealth and State Community Legal Services Program.  PIAC also receives funding from </w:t>
      </w:r>
      <w:r w:rsidR="004B4501">
        <w:t>NSW</w:t>
      </w:r>
      <w:r w:rsidR="003D7878">
        <w:t xml:space="preserve"> Trade</w:t>
      </w:r>
      <w:r>
        <w:t xml:space="preserve"> and Investment</w:t>
      </w:r>
      <w:r w:rsidR="003D7878">
        <w:t xml:space="preserve"> </w:t>
      </w:r>
      <w:r>
        <w:t>for its work on energy and water, and from Allens for its Indigenous Justice Program.  PIAC also generates income from project and case grants, seminars, consultancy fees, donations and recovery of costs in legal actions.</w:t>
      </w:r>
    </w:p>
    <w:p w14:paraId="0B6819C0" w14:textId="77777777" w:rsidR="00F96497" w:rsidRDefault="00F96497" w:rsidP="00F96497">
      <w:pPr>
        <w:pStyle w:val="Heading2"/>
      </w:pPr>
      <w:bookmarkStart w:id="1" w:name="_Toc113434258"/>
      <w:r>
        <w:t xml:space="preserve">Energy + Water Consumers’ Advocacy Program </w:t>
      </w:r>
    </w:p>
    <w:p w14:paraId="33B0872F" w14:textId="77777777" w:rsidR="00F96497" w:rsidRDefault="00F96497" w:rsidP="00F96497">
      <w:r>
        <w:t>This Program was established at PIAC as the Utilities Consumer’s Advocacy Program in 1998 with NSW Government funding. The aim of the program is to develop policy and advocate in the interests of low-income and other residential consumers in the NSW energy and water markets. PIAC receives policy input to the program from a community-based reference group whose members include:</w:t>
      </w:r>
    </w:p>
    <w:p w14:paraId="163EE4E7" w14:textId="77777777" w:rsidR="00F96497" w:rsidRDefault="00F96497" w:rsidP="00F96497"/>
    <w:p w14:paraId="05E028B2" w14:textId="77777777" w:rsidR="00F96497" w:rsidRDefault="00F96497" w:rsidP="00F96497">
      <w:pPr>
        <w:pStyle w:val="BullettedList"/>
        <w:tabs>
          <w:tab w:val="num" w:pos="360"/>
        </w:tabs>
        <w:ind w:left="360" w:hanging="360"/>
      </w:pPr>
      <w:r>
        <w:t>Council of Social Service of NSW (NCOSS);</w:t>
      </w:r>
    </w:p>
    <w:p w14:paraId="0385DFAD" w14:textId="77777777" w:rsidR="00F96497" w:rsidRDefault="00F96497" w:rsidP="00F96497">
      <w:pPr>
        <w:pStyle w:val="BullettedList"/>
        <w:tabs>
          <w:tab w:val="num" w:pos="360"/>
        </w:tabs>
        <w:ind w:left="360" w:hanging="360"/>
      </w:pPr>
      <w:r>
        <w:t>Combined Pensioners and Superannuants Association of NSW;</w:t>
      </w:r>
    </w:p>
    <w:p w14:paraId="41E2AD5D" w14:textId="77777777" w:rsidR="00F96497" w:rsidRDefault="00F96497" w:rsidP="00F96497">
      <w:pPr>
        <w:pStyle w:val="BullettedList"/>
        <w:tabs>
          <w:tab w:val="num" w:pos="360"/>
        </w:tabs>
        <w:ind w:left="360" w:hanging="360"/>
      </w:pPr>
      <w:r>
        <w:t>Tenants Union of NSW;</w:t>
      </w:r>
    </w:p>
    <w:p w14:paraId="3021A77F" w14:textId="77777777" w:rsidR="00F96497" w:rsidRDefault="00F96497" w:rsidP="00F96497">
      <w:pPr>
        <w:pStyle w:val="BullettedList"/>
        <w:tabs>
          <w:tab w:val="num" w:pos="360"/>
        </w:tabs>
        <w:ind w:left="360" w:hanging="360"/>
      </w:pPr>
      <w:r>
        <w:t>Ethnic Communities Council of NSW;</w:t>
      </w:r>
    </w:p>
    <w:p w14:paraId="16237D65" w14:textId="77777777" w:rsidR="00F96497" w:rsidRDefault="00F96497" w:rsidP="00F96497">
      <w:pPr>
        <w:pStyle w:val="BullettedList"/>
        <w:tabs>
          <w:tab w:val="num" w:pos="360"/>
        </w:tabs>
        <w:ind w:left="360" w:hanging="360"/>
      </w:pPr>
      <w:r>
        <w:t xml:space="preserve">Physical Disability Council of NSW; </w:t>
      </w:r>
    </w:p>
    <w:p w14:paraId="6A8E3F64" w14:textId="77777777" w:rsidR="00F96497" w:rsidRDefault="00F96497" w:rsidP="00F96497">
      <w:pPr>
        <w:pStyle w:val="BullettedList"/>
        <w:tabs>
          <w:tab w:val="num" w:pos="360"/>
        </w:tabs>
        <w:ind w:left="360" w:hanging="360"/>
      </w:pPr>
      <w:r>
        <w:t>St Vincent de Paul Society of NSW; and</w:t>
      </w:r>
    </w:p>
    <w:p w14:paraId="6E22C5E7" w14:textId="77777777" w:rsidR="00F96497" w:rsidRDefault="00F96497" w:rsidP="00F96497">
      <w:pPr>
        <w:pStyle w:val="BullettedList"/>
        <w:tabs>
          <w:tab w:val="num" w:pos="360"/>
        </w:tabs>
        <w:ind w:left="360" w:hanging="360"/>
      </w:pPr>
      <w:r>
        <w:rPr>
          <w:szCs w:val="22"/>
        </w:rPr>
        <w:t>Good Shepherd Microfinance</w:t>
      </w:r>
      <w:r>
        <w:t xml:space="preserve">. </w:t>
      </w:r>
    </w:p>
    <w:bookmarkEnd w:id="1"/>
    <w:p w14:paraId="470F224F" w14:textId="77777777" w:rsidR="00F96497" w:rsidRPr="00946EED" w:rsidRDefault="00F96497" w:rsidP="00F96497">
      <w:pPr>
        <w:pStyle w:val="BullettedList"/>
        <w:tabs>
          <w:tab w:val="num" w:pos="360"/>
        </w:tabs>
      </w:pPr>
      <w:r w:rsidRPr="00946EED">
        <w:t>Affiliated Residential Park Residents Association</w:t>
      </w:r>
    </w:p>
    <w:p w14:paraId="2AA4000D" w14:textId="77777777" w:rsidR="00F96497" w:rsidRPr="00946EED" w:rsidRDefault="00F96497" w:rsidP="00F96497">
      <w:pPr>
        <w:pStyle w:val="BullettedList"/>
        <w:tabs>
          <w:tab w:val="num" w:pos="360"/>
        </w:tabs>
      </w:pPr>
      <w:r w:rsidRPr="00946EED">
        <w:t>Financial Rights Legal Centre</w:t>
      </w:r>
    </w:p>
    <w:p w14:paraId="70A2B3E8" w14:textId="77777777" w:rsidR="00C330B2" w:rsidRPr="00D802F5" w:rsidRDefault="00F96497" w:rsidP="00C330B2">
      <w:pPr>
        <w:pStyle w:val="BullettedList"/>
        <w:tabs>
          <w:tab w:val="num" w:pos="360"/>
        </w:tabs>
      </w:pPr>
      <w:r w:rsidRPr="00946EED">
        <w:t>The Salvation Army</w:t>
      </w:r>
    </w:p>
    <w:p w14:paraId="2CDCCC89" w14:textId="77777777" w:rsidR="00F96497" w:rsidRDefault="00F96497" w:rsidP="00F96497">
      <w:pPr>
        <w:pStyle w:val="Heading1"/>
      </w:pPr>
      <w:bookmarkStart w:id="2" w:name="_Toc113434260"/>
      <w:r>
        <w:t>Introduction</w:t>
      </w:r>
    </w:p>
    <w:p w14:paraId="2D9F63FC" w14:textId="4F0A0DFA" w:rsidR="00B70770" w:rsidRDefault="000C0A70" w:rsidP="00F96497">
      <w:pPr>
        <w:rPr>
          <w:lang w:val="en-US"/>
        </w:rPr>
      </w:pPr>
      <w:r>
        <w:rPr>
          <w:lang w:val="en-US"/>
        </w:rPr>
        <w:t>The Public Interest Advocacy Centre (PIAC) welcomes the opportunity to comment on the C</w:t>
      </w:r>
      <w:r w:rsidR="001E33A4">
        <w:rPr>
          <w:lang w:val="en-US"/>
        </w:rPr>
        <w:t>ouncil of Australian Government</w:t>
      </w:r>
      <w:r>
        <w:rPr>
          <w:lang w:val="en-US"/>
        </w:rPr>
        <w:t xml:space="preserve"> Energy Council (COAG EC) </w:t>
      </w:r>
      <w:r w:rsidR="001E33A4">
        <w:rPr>
          <w:lang w:val="en-US"/>
        </w:rPr>
        <w:t>consultation</w:t>
      </w:r>
      <w:r>
        <w:rPr>
          <w:lang w:val="en-US"/>
        </w:rPr>
        <w:t xml:space="preserve"> paper</w:t>
      </w:r>
      <w:r w:rsidR="009A46BA">
        <w:rPr>
          <w:lang w:val="en-US"/>
        </w:rPr>
        <w:t xml:space="preserve"> </w:t>
      </w:r>
      <w:r w:rsidR="00BF683C">
        <w:rPr>
          <w:lang w:val="en-US"/>
        </w:rPr>
        <w:t>on s</w:t>
      </w:r>
      <w:r w:rsidR="00BF683C" w:rsidRPr="00BF683C">
        <w:rPr>
          <w:lang w:val="en-US"/>
        </w:rPr>
        <w:t xml:space="preserve">tand-alone energy systems in the </w:t>
      </w:r>
      <w:r w:rsidR="00BF683C">
        <w:rPr>
          <w:lang w:val="en-US"/>
        </w:rPr>
        <w:t>e</w:t>
      </w:r>
      <w:r w:rsidR="00BF683C" w:rsidRPr="00BF683C">
        <w:rPr>
          <w:lang w:val="en-US"/>
        </w:rPr>
        <w:t xml:space="preserve">lectricity </w:t>
      </w:r>
      <w:r w:rsidR="00BF683C">
        <w:rPr>
          <w:lang w:val="en-US"/>
        </w:rPr>
        <w:t>m</w:t>
      </w:r>
      <w:r w:rsidR="00BF683C" w:rsidRPr="00BF683C">
        <w:rPr>
          <w:lang w:val="en-US"/>
        </w:rPr>
        <w:t>arket</w:t>
      </w:r>
      <w:r>
        <w:rPr>
          <w:lang w:val="en-US"/>
        </w:rPr>
        <w:t>.</w:t>
      </w:r>
      <w:bookmarkStart w:id="3" w:name="_Ref336849168"/>
      <w:r>
        <w:rPr>
          <w:rStyle w:val="FootnoteReference"/>
          <w:lang w:val="en-US"/>
        </w:rPr>
        <w:footnoteReference w:id="1"/>
      </w:r>
      <w:bookmarkEnd w:id="3"/>
      <w:r>
        <w:rPr>
          <w:lang w:val="en-US"/>
        </w:rPr>
        <w:t xml:space="preserve"> </w:t>
      </w:r>
    </w:p>
    <w:p w14:paraId="0BE64B9A" w14:textId="77777777" w:rsidR="000C0A70" w:rsidRDefault="000C0A70" w:rsidP="00F96497">
      <w:pPr>
        <w:rPr>
          <w:lang w:val="en-US"/>
        </w:rPr>
      </w:pPr>
    </w:p>
    <w:p w14:paraId="56CB8792" w14:textId="337AB705" w:rsidR="00B70770" w:rsidRDefault="001E33A4" w:rsidP="00F96497">
      <w:pPr>
        <w:rPr>
          <w:lang w:val="en-US"/>
        </w:rPr>
      </w:pPr>
      <w:r>
        <w:rPr>
          <w:lang w:val="en-US"/>
        </w:rPr>
        <w:t>There are t</w:t>
      </w:r>
      <w:r w:rsidR="00B70770">
        <w:rPr>
          <w:lang w:val="en-US"/>
        </w:rPr>
        <w:t xml:space="preserve">hree </w:t>
      </w:r>
      <w:r w:rsidR="00BF683C">
        <w:rPr>
          <w:lang w:val="en-US"/>
        </w:rPr>
        <w:t>key questions arising out</w:t>
      </w:r>
      <w:r w:rsidR="002878B8">
        <w:rPr>
          <w:lang w:val="en-US"/>
        </w:rPr>
        <w:t xml:space="preserve"> of this consultation</w:t>
      </w:r>
      <w:r w:rsidR="00BF683C">
        <w:rPr>
          <w:lang w:val="en-US"/>
        </w:rPr>
        <w:t>:</w:t>
      </w:r>
    </w:p>
    <w:p w14:paraId="557EA4BF" w14:textId="77777777" w:rsidR="0066252A" w:rsidRDefault="0066252A" w:rsidP="00F96497">
      <w:pPr>
        <w:rPr>
          <w:lang w:val="en-US"/>
        </w:rPr>
      </w:pPr>
    </w:p>
    <w:p w14:paraId="591CE1C0" w14:textId="77777777" w:rsidR="00B70770" w:rsidRDefault="00B70770" w:rsidP="0066252A">
      <w:pPr>
        <w:pStyle w:val="BullettedList"/>
      </w:pPr>
      <w:r>
        <w:t>Should stand-alone systems be regulated under a national framework?</w:t>
      </w:r>
    </w:p>
    <w:p w14:paraId="440D6A4D" w14:textId="0733D333" w:rsidR="00B70770" w:rsidRDefault="00B70770" w:rsidP="0066252A">
      <w:pPr>
        <w:pStyle w:val="BullettedList"/>
      </w:pPr>
      <w:r>
        <w:t>What principles should be adopted in determining the need for, and nature of, any new regulator arrangements that will appl</w:t>
      </w:r>
      <w:r w:rsidR="002878B8">
        <w:t>y to stand-alone energy systems?</w:t>
      </w:r>
    </w:p>
    <w:p w14:paraId="6A39F7E2" w14:textId="33909684" w:rsidR="002878B8" w:rsidRDefault="00B70770" w:rsidP="0066252A">
      <w:pPr>
        <w:pStyle w:val="BullettedList"/>
      </w:pPr>
      <w:r>
        <w:t>What protections are necessary for customers serviced by stand-alone systems</w:t>
      </w:r>
      <w:r w:rsidR="002878B8">
        <w:t>?</w:t>
      </w:r>
      <w:r w:rsidR="001E33A4">
        <w:rPr>
          <w:rStyle w:val="FootnoteReference"/>
          <w:lang w:val="en-US"/>
        </w:rPr>
        <w:footnoteReference w:id="2"/>
      </w:r>
    </w:p>
    <w:p w14:paraId="7DAC6C6C" w14:textId="7B0577A2" w:rsidR="00B70770" w:rsidRDefault="00B70770" w:rsidP="002878B8">
      <w:pPr>
        <w:rPr>
          <w:lang w:val="en-US"/>
        </w:rPr>
      </w:pPr>
    </w:p>
    <w:p w14:paraId="76831B02" w14:textId="0F469DF4" w:rsidR="0066252A" w:rsidRDefault="004E2918" w:rsidP="000675B4">
      <w:pPr>
        <w:rPr>
          <w:lang w:val="en-US"/>
        </w:rPr>
      </w:pPr>
      <w:r>
        <w:rPr>
          <w:lang w:val="en-US"/>
        </w:rPr>
        <w:t xml:space="preserve">PIAC considers it important to </w:t>
      </w:r>
      <w:r w:rsidR="00C929A3">
        <w:rPr>
          <w:lang w:val="en-US"/>
        </w:rPr>
        <w:t xml:space="preserve">design a </w:t>
      </w:r>
      <w:r w:rsidR="00F424C8">
        <w:rPr>
          <w:lang w:val="en-US"/>
        </w:rPr>
        <w:t xml:space="preserve">regulatory </w:t>
      </w:r>
      <w:r w:rsidR="00C929A3">
        <w:rPr>
          <w:lang w:val="en-US"/>
        </w:rPr>
        <w:t xml:space="preserve">system that appropriately </w:t>
      </w:r>
      <w:r w:rsidR="00004157">
        <w:rPr>
          <w:lang w:val="en-US"/>
        </w:rPr>
        <w:t>addresses</w:t>
      </w:r>
      <w:r w:rsidR="00C929A3">
        <w:rPr>
          <w:lang w:val="en-US"/>
        </w:rPr>
        <w:t xml:space="preserve"> consumer protections</w:t>
      </w:r>
      <w:r w:rsidR="00004157">
        <w:rPr>
          <w:lang w:val="en-US"/>
        </w:rPr>
        <w:t xml:space="preserve"> and reliability</w:t>
      </w:r>
      <w:r w:rsidR="00C929A3">
        <w:rPr>
          <w:lang w:val="en-US"/>
        </w:rPr>
        <w:t xml:space="preserve"> in situations where </w:t>
      </w:r>
      <w:r w:rsidR="00C01C16">
        <w:rPr>
          <w:lang w:val="en-US"/>
        </w:rPr>
        <w:t>stand-</w:t>
      </w:r>
      <w:r>
        <w:rPr>
          <w:lang w:val="en-US"/>
        </w:rPr>
        <w:t>alone systems</w:t>
      </w:r>
      <w:r w:rsidR="00C01C16">
        <w:rPr>
          <w:lang w:val="en-US"/>
        </w:rPr>
        <w:t xml:space="preserve"> are </w:t>
      </w:r>
      <w:r w:rsidR="001E33A4">
        <w:rPr>
          <w:lang w:val="en-US"/>
        </w:rPr>
        <w:t xml:space="preserve">the </w:t>
      </w:r>
      <w:r w:rsidR="008850C1">
        <w:rPr>
          <w:lang w:val="en-US"/>
        </w:rPr>
        <w:t xml:space="preserve">sole </w:t>
      </w:r>
      <w:r w:rsidR="001E33A4">
        <w:rPr>
          <w:lang w:val="en-US"/>
        </w:rPr>
        <w:t>energy supply for</w:t>
      </w:r>
      <w:r w:rsidR="00A77A5B">
        <w:rPr>
          <w:lang w:val="en-US"/>
        </w:rPr>
        <w:t xml:space="preserve"> </w:t>
      </w:r>
      <w:r w:rsidR="001E33A4">
        <w:rPr>
          <w:lang w:val="en-US"/>
        </w:rPr>
        <w:t>customers</w:t>
      </w:r>
      <w:r w:rsidR="00E87BD3">
        <w:rPr>
          <w:lang w:val="en-US"/>
        </w:rPr>
        <w:t>.</w:t>
      </w:r>
      <w:r w:rsidR="00C01C16">
        <w:rPr>
          <w:lang w:val="en-US"/>
        </w:rPr>
        <w:t xml:space="preserve"> </w:t>
      </w:r>
      <w:r w:rsidR="009D5AD6">
        <w:rPr>
          <w:lang w:val="en-US"/>
        </w:rPr>
        <w:t>C</w:t>
      </w:r>
      <w:r w:rsidR="00C01C16">
        <w:rPr>
          <w:lang w:val="en-US"/>
        </w:rPr>
        <w:t>ustomers who</w:t>
      </w:r>
      <w:r w:rsidR="00925246">
        <w:rPr>
          <w:lang w:val="en-US"/>
        </w:rPr>
        <w:t>se energy needs</w:t>
      </w:r>
      <w:r w:rsidR="00C01C16">
        <w:rPr>
          <w:lang w:val="en-US"/>
        </w:rPr>
        <w:t xml:space="preserve"> are </w:t>
      </w:r>
      <w:r w:rsidR="005C6704">
        <w:rPr>
          <w:lang w:val="en-US"/>
        </w:rPr>
        <w:t xml:space="preserve">wholly </w:t>
      </w:r>
      <w:r w:rsidR="00C01C16">
        <w:rPr>
          <w:lang w:val="en-US"/>
        </w:rPr>
        <w:t xml:space="preserve">served by a stand-alone system will require greater protections, regulation and reliability and service standards than </w:t>
      </w:r>
      <w:r w:rsidR="00DB5030">
        <w:rPr>
          <w:lang w:val="en-US"/>
        </w:rPr>
        <w:t xml:space="preserve">those using the services of </w:t>
      </w:r>
      <w:r w:rsidR="00F424C8">
        <w:rPr>
          <w:lang w:val="en-US"/>
        </w:rPr>
        <w:t>local</w:t>
      </w:r>
      <w:r w:rsidR="00C01C16">
        <w:rPr>
          <w:lang w:val="en-US"/>
        </w:rPr>
        <w:t xml:space="preserve"> battery or solar PV</w:t>
      </w:r>
      <w:r w:rsidR="00F424C8">
        <w:rPr>
          <w:lang w:val="en-US"/>
        </w:rPr>
        <w:t>, while remaining connected to the grid</w:t>
      </w:r>
      <w:r w:rsidR="00C01C16">
        <w:rPr>
          <w:lang w:val="en-US"/>
        </w:rPr>
        <w:t xml:space="preserve">. </w:t>
      </w:r>
    </w:p>
    <w:p w14:paraId="665FDD71" w14:textId="77777777" w:rsidR="0066252A" w:rsidRDefault="0066252A" w:rsidP="000675B4">
      <w:pPr>
        <w:rPr>
          <w:lang w:val="en-US"/>
        </w:rPr>
      </w:pPr>
    </w:p>
    <w:p w14:paraId="11E309B5" w14:textId="23C69A54" w:rsidR="008F388C" w:rsidRDefault="00FE1689" w:rsidP="000675B4">
      <w:pPr>
        <w:rPr>
          <w:lang w:val="en-AU"/>
        </w:rPr>
      </w:pPr>
      <w:r>
        <w:rPr>
          <w:lang w:val="en-AU"/>
        </w:rPr>
        <w:t>From PIAC’s perspective, the</w:t>
      </w:r>
      <w:r w:rsidR="000675B4">
        <w:rPr>
          <w:lang w:val="en-AU"/>
        </w:rPr>
        <w:t xml:space="preserve"> key</w:t>
      </w:r>
      <w:r w:rsidR="000675B4" w:rsidRPr="000675B4">
        <w:rPr>
          <w:lang w:val="en-AU"/>
        </w:rPr>
        <w:t xml:space="preserve"> </w:t>
      </w:r>
      <w:r w:rsidR="008327CA">
        <w:rPr>
          <w:lang w:val="en-AU"/>
        </w:rPr>
        <w:t>consideration</w:t>
      </w:r>
      <w:r w:rsidR="000675B4" w:rsidRPr="000675B4">
        <w:rPr>
          <w:lang w:val="en-AU"/>
        </w:rPr>
        <w:t xml:space="preserve"> is the impact </w:t>
      </w:r>
      <w:r w:rsidR="005C6704">
        <w:rPr>
          <w:lang w:val="en-AU"/>
        </w:rPr>
        <w:t xml:space="preserve">that </w:t>
      </w:r>
      <w:r w:rsidR="000675B4" w:rsidRPr="000675B4">
        <w:rPr>
          <w:lang w:val="en-AU"/>
        </w:rPr>
        <w:t>disconnection of energy ser</w:t>
      </w:r>
      <w:r w:rsidR="00F51E27">
        <w:rPr>
          <w:lang w:val="en-AU"/>
        </w:rPr>
        <w:t>vices would have on a customer, so if the stand-alone system is the sole supply of energy, that necessitates greater protections.</w:t>
      </w:r>
      <w:r w:rsidR="004B66AA">
        <w:rPr>
          <w:lang w:val="en-AU"/>
        </w:rPr>
        <w:t xml:space="preserve"> </w:t>
      </w:r>
      <w:r w:rsidR="004C0616" w:rsidRPr="004C0616">
        <w:rPr>
          <w:lang w:val="en-AU"/>
        </w:rPr>
        <w:t xml:space="preserve">It is appropriate that </w:t>
      </w:r>
      <w:r w:rsidR="004C0616">
        <w:rPr>
          <w:lang w:val="en-AU"/>
        </w:rPr>
        <w:t>energy providers</w:t>
      </w:r>
      <w:r w:rsidR="00B35782">
        <w:rPr>
          <w:lang w:val="en-AU"/>
        </w:rPr>
        <w:t xml:space="preserve"> have additional requirements</w:t>
      </w:r>
      <w:r w:rsidR="0066252A">
        <w:rPr>
          <w:lang w:val="en-AU"/>
        </w:rPr>
        <w:t>,</w:t>
      </w:r>
      <w:r w:rsidR="004C0616" w:rsidRPr="004C0616">
        <w:rPr>
          <w:lang w:val="en-AU"/>
        </w:rPr>
        <w:t xml:space="preserve"> given their unique role </w:t>
      </w:r>
      <w:r w:rsidR="00C939AD">
        <w:rPr>
          <w:lang w:val="en-AU"/>
        </w:rPr>
        <w:t>in being a sole supply of electricity</w:t>
      </w:r>
      <w:r w:rsidR="004C0616" w:rsidRPr="004C0616">
        <w:rPr>
          <w:lang w:val="en-AU"/>
        </w:rPr>
        <w:t xml:space="preserve">. It follows that in cases where </w:t>
      </w:r>
      <w:r w:rsidR="00926506">
        <w:rPr>
          <w:lang w:val="en-AU"/>
        </w:rPr>
        <w:t xml:space="preserve">a stand-alone </w:t>
      </w:r>
      <w:r w:rsidR="00B35782">
        <w:rPr>
          <w:lang w:val="en-AU"/>
        </w:rPr>
        <w:t>system</w:t>
      </w:r>
      <w:r w:rsidR="004C0616" w:rsidRPr="004C0616">
        <w:rPr>
          <w:lang w:val="en-AU"/>
        </w:rPr>
        <w:t xml:space="preserve"> will be the </w:t>
      </w:r>
      <w:r w:rsidR="00926506">
        <w:rPr>
          <w:lang w:val="en-AU"/>
        </w:rPr>
        <w:t>customer’s</w:t>
      </w:r>
      <w:r w:rsidR="004C0616" w:rsidRPr="004C0616">
        <w:rPr>
          <w:lang w:val="en-AU"/>
        </w:rPr>
        <w:t xml:space="preserve"> only energy supply</w:t>
      </w:r>
      <w:r w:rsidR="0066252A">
        <w:rPr>
          <w:lang w:val="en-AU"/>
        </w:rPr>
        <w:t>,</w:t>
      </w:r>
      <w:r w:rsidR="004C0616" w:rsidRPr="004C0616">
        <w:rPr>
          <w:lang w:val="en-AU"/>
        </w:rPr>
        <w:t xml:space="preserve"> without the option of reconnecting to the NEM, it </w:t>
      </w:r>
      <w:r w:rsidR="0066252A">
        <w:rPr>
          <w:lang w:val="en-AU"/>
        </w:rPr>
        <w:t>is</w:t>
      </w:r>
      <w:r w:rsidR="004C0616" w:rsidRPr="004C0616">
        <w:rPr>
          <w:lang w:val="en-AU"/>
        </w:rPr>
        <w:t xml:space="preserve"> reasonable to require </w:t>
      </w:r>
      <w:r w:rsidR="00B35782">
        <w:rPr>
          <w:lang w:val="en-AU"/>
        </w:rPr>
        <w:t>that</w:t>
      </w:r>
      <w:r w:rsidR="00B35782" w:rsidRPr="00B35782">
        <w:rPr>
          <w:lang w:val="en-AU"/>
        </w:rPr>
        <w:t xml:space="preserve"> customers</w:t>
      </w:r>
      <w:r w:rsidR="0066252A">
        <w:rPr>
          <w:lang w:val="en-AU"/>
        </w:rPr>
        <w:t xml:space="preserve"> be offered </w:t>
      </w:r>
      <w:r w:rsidR="00B35782" w:rsidRPr="00B35782">
        <w:rPr>
          <w:lang w:val="en-AU"/>
        </w:rPr>
        <w:t xml:space="preserve">protections </w:t>
      </w:r>
      <w:r w:rsidR="00F257AE">
        <w:rPr>
          <w:lang w:val="en-AU"/>
        </w:rPr>
        <w:t xml:space="preserve">and reliability standards </w:t>
      </w:r>
      <w:r w:rsidR="00B35782" w:rsidRPr="00B35782">
        <w:rPr>
          <w:lang w:val="en-AU"/>
        </w:rPr>
        <w:t>that mirror, as closely as possible, the protect</w:t>
      </w:r>
      <w:r w:rsidR="00F257AE">
        <w:rPr>
          <w:lang w:val="en-AU"/>
        </w:rPr>
        <w:t>ions offered to customers that are grid-connected</w:t>
      </w:r>
      <w:r w:rsidR="00B35782" w:rsidRPr="00B35782">
        <w:rPr>
          <w:lang w:val="en-AU"/>
        </w:rPr>
        <w:t xml:space="preserve">. </w:t>
      </w:r>
    </w:p>
    <w:p w14:paraId="4327F133" w14:textId="77777777" w:rsidR="008F388C" w:rsidRDefault="008F388C" w:rsidP="000675B4">
      <w:pPr>
        <w:rPr>
          <w:lang w:val="en-AU"/>
        </w:rPr>
      </w:pPr>
    </w:p>
    <w:p w14:paraId="02B60515" w14:textId="1604FDED" w:rsidR="00141596" w:rsidRDefault="00C01C16" w:rsidP="000675B4">
      <w:pPr>
        <w:rPr>
          <w:lang w:val="en-US"/>
        </w:rPr>
      </w:pPr>
      <w:r>
        <w:rPr>
          <w:lang w:val="en-US"/>
        </w:rPr>
        <w:t xml:space="preserve">PIAC </w:t>
      </w:r>
      <w:r w:rsidR="0066252A">
        <w:rPr>
          <w:lang w:val="en-US"/>
        </w:rPr>
        <w:t xml:space="preserve">considers </w:t>
      </w:r>
      <w:r>
        <w:rPr>
          <w:lang w:val="en-US"/>
        </w:rPr>
        <w:t>that this is the case</w:t>
      </w:r>
      <w:r w:rsidR="0066252A">
        <w:rPr>
          <w:lang w:val="en-US"/>
        </w:rPr>
        <w:t>,</w:t>
      </w:r>
      <w:r>
        <w:rPr>
          <w:lang w:val="en-US"/>
        </w:rPr>
        <w:t xml:space="preserve"> regardless of the ownership model for a particular project</w:t>
      </w:r>
      <w:r w:rsidR="00BD5D6E">
        <w:rPr>
          <w:lang w:val="en-US"/>
        </w:rPr>
        <w:t xml:space="preserve">, </w:t>
      </w:r>
      <w:r w:rsidR="00141596">
        <w:rPr>
          <w:lang w:val="en-US"/>
        </w:rPr>
        <w:t xml:space="preserve">but acknowledges that there may be </w:t>
      </w:r>
      <w:r w:rsidR="007621A0">
        <w:rPr>
          <w:lang w:val="en-US"/>
        </w:rPr>
        <w:t xml:space="preserve">a </w:t>
      </w:r>
      <w:r w:rsidR="00141596">
        <w:rPr>
          <w:lang w:val="en-US"/>
        </w:rPr>
        <w:t xml:space="preserve">need </w:t>
      </w:r>
      <w:r w:rsidR="00903E23">
        <w:rPr>
          <w:lang w:val="en-US"/>
        </w:rPr>
        <w:t xml:space="preserve">to accommodate </w:t>
      </w:r>
      <w:r w:rsidR="00141596">
        <w:rPr>
          <w:lang w:val="en-US"/>
        </w:rPr>
        <w:t>incremental deviations from the standard to reflect the varying degrees of risk associated with different ownership models.</w:t>
      </w:r>
      <w:r w:rsidR="00343CFA">
        <w:rPr>
          <w:lang w:val="en-US"/>
        </w:rPr>
        <w:t xml:space="preserve"> Generally speaking, the less choice that a customer </w:t>
      </w:r>
      <w:r w:rsidR="001C697C">
        <w:rPr>
          <w:lang w:val="en-US"/>
        </w:rPr>
        <w:t>has</w:t>
      </w:r>
      <w:r w:rsidR="00134A02">
        <w:rPr>
          <w:lang w:val="en-US"/>
        </w:rPr>
        <w:t>,</w:t>
      </w:r>
      <w:r w:rsidR="001C697C">
        <w:rPr>
          <w:lang w:val="en-US"/>
        </w:rPr>
        <w:t xml:space="preserve"> </w:t>
      </w:r>
      <w:proofErr w:type="gramStart"/>
      <w:r w:rsidR="001C697C">
        <w:rPr>
          <w:lang w:val="en-US"/>
        </w:rPr>
        <w:t>the</w:t>
      </w:r>
      <w:proofErr w:type="gramEnd"/>
      <w:r w:rsidR="00343CFA">
        <w:rPr>
          <w:lang w:val="en-US"/>
        </w:rPr>
        <w:t xml:space="preserve"> greater the risk involved in a transaction. </w:t>
      </w:r>
    </w:p>
    <w:p w14:paraId="04D4FFD1" w14:textId="77777777" w:rsidR="00141596" w:rsidRDefault="00141596" w:rsidP="000675B4">
      <w:pPr>
        <w:rPr>
          <w:lang w:val="en-US"/>
        </w:rPr>
      </w:pPr>
    </w:p>
    <w:p w14:paraId="1BCB814F" w14:textId="14F26842" w:rsidR="00BB66AB" w:rsidRPr="00AD50BD" w:rsidRDefault="00553015" w:rsidP="000675B4">
      <w:pPr>
        <w:rPr>
          <w:lang w:val="en-AU"/>
        </w:rPr>
      </w:pPr>
      <w:r>
        <w:rPr>
          <w:lang w:val="en-US"/>
        </w:rPr>
        <w:t xml:space="preserve">While </w:t>
      </w:r>
      <w:r w:rsidR="00BB66AB">
        <w:rPr>
          <w:lang w:val="en-US"/>
        </w:rPr>
        <w:t xml:space="preserve">this issue </w:t>
      </w:r>
      <w:r w:rsidR="00523CF6">
        <w:rPr>
          <w:lang w:val="en-US"/>
        </w:rPr>
        <w:t xml:space="preserve">may be </w:t>
      </w:r>
      <w:r w:rsidR="00550596">
        <w:rPr>
          <w:lang w:val="en-US"/>
        </w:rPr>
        <w:t xml:space="preserve">in </w:t>
      </w:r>
      <w:r w:rsidR="003A7DBF">
        <w:rPr>
          <w:lang w:val="en-US"/>
        </w:rPr>
        <w:t xml:space="preserve">its </w:t>
      </w:r>
      <w:r w:rsidR="00550596">
        <w:rPr>
          <w:lang w:val="en-US"/>
        </w:rPr>
        <w:t>infancy</w:t>
      </w:r>
      <w:r w:rsidR="00523CF6">
        <w:rPr>
          <w:lang w:val="en-US"/>
        </w:rPr>
        <w:t>,</w:t>
      </w:r>
      <w:r w:rsidR="00550596">
        <w:rPr>
          <w:lang w:val="en-US"/>
        </w:rPr>
        <w:t xml:space="preserve"> the </w:t>
      </w:r>
      <w:r w:rsidR="00861193">
        <w:rPr>
          <w:lang w:val="en-US"/>
        </w:rPr>
        <w:t>relatively rapid developments in</w:t>
      </w:r>
      <w:r w:rsidR="00550596">
        <w:rPr>
          <w:lang w:val="en-US"/>
        </w:rPr>
        <w:t xml:space="preserve"> </w:t>
      </w:r>
      <w:r>
        <w:rPr>
          <w:lang w:val="en-US"/>
        </w:rPr>
        <w:t>stand-alone</w:t>
      </w:r>
      <w:r w:rsidR="00550596">
        <w:rPr>
          <w:lang w:val="en-US"/>
        </w:rPr>
        <w:t xml:space="preserve"> systems could </w:t>
      </w:r>
      <w:r w:rsidR="00134A02">
        <w:rPr>
          <w:lang w:val="en-US"/>
        </w:rPr>
        <w:t xml:space="preserve">soon </w:t>
      </w:r>
      <w:r w:rsidR="00861193">
        <w:rPr>
          <w:lang w:val="en-US"/>
        </w:rPr>
        <w:t xml:space="preserve">see </w:t>
      </w:r>
      <w:r w:rsidR="00550596">
        <w:rPr>
          <w:lang w:val="en-US"/>
        </w:rPr>
        <w:t>hundreds of thousands of consumers served by these systems</w:t>
      </w:r>
      <w:r w:rsidR="00F47EFA">
        <w:rPr>
          <w:lang w:val="en-US"/>
        </w:rPr>
        <w:t xml:space="preserve">, which </w:t>
      </w:r>
      <w:r w:rsidR="00523CF6">
        <w:rPr>
          <w:lang w:val="en-US"/>
        </w:rPr>
        <w:t>may range from</w:t>
      </w:r>
      <w:r w:rsidR="00550596">
        <w:rPr>
          <w:lang w:val="en-US"/>
        </w:rPr>
        <w:t xml:space="preserve"> schemes </w:t>
      </w:r>
      <w:r w:rsidR="00F47EFA">
        <w:rPr>
          <w:lang w:val="en-US"/>
        </w:rPr>
        <w:t>that involve small numbers of</w:t>
      </w:r>
      <w:r w:rsidR="00550596">
        <w:rPr>
          <w:lang w:val="en-US"/>
        </w:rPr>
        <w:t xml:space="preserve"> customers through to </w:t>
      </w:r>
      <w:r w:rsidR="00F47EFA">
        <w:rPr>
          <w:lang w:val="en-US"/>
        </w:rPr>
        <w:t>neighborhood</w:t>
      </w:r>
      <w:r w:rsidR="00550596">
        <w:rPr>
          <w:lang w:val="en-US"/>
        </w:rPr>
        <w:t xml:space="preserve"> developments </w:t>
      </w:r>
      <w:r w:rsidR="00EE039B">
        <w:rPr>
          <w:lang w:val="en-US"/>
        </w:rPr>
        <w:t xml:space="preserve">and </w:t>
      </w:r>
      <w:r w:rsidR="00550596">
        <w:rPr>
          <w:lang w:val="en-US"/>
        </w:rPr>
        <w:t xml:space="preserve">communities </w:t>
      </w:r>
      <w:r w:rsidR="00BD04A1">
        <w:rPr>
          <w:lang w:val="en-US"/>
        </w:rPr>
        <w:t xml:space="preserve">that involve </w:t>
      </w:r>
      <w:r w:rsidR="00E920A1">
        <w:rPr>
          <w:lang w:val="en-US"/>
        </w:rPr>
        <w:t xml:space="preserve">thousands </w:t>
      </w:r>
      <w:r w:rsidR="004E2918">
        <w:rPr>
          <w:lang w:val="en-US"/>
        </w:rPr>
        <w:t>of households</w:t>
      </w:r>
      <w:r w:rsidR="00550596">
        <w:rPr>
          <w:lang w:val="en-US"/>
        </w:rPr>
        <w:t>.</w:t>
      </w:r>
      <w:r w:rsidR="00FC5BD8">
        <w:rPr>
          <w:rStyle w:val="FootnoteReference"/>
          <w:lang w:val="en-US"/>
        </w:rPr>
        <w:footnoteReference w:id="3"/>
      </w:r>
      <w:r w:rsidR="00550596">
        <w:rPr>
          <w:lang w:val="en-US"/>
        </w:rPr>
        <w:t xml:space="preserve"> </w:t>
      </w:r>
    </w:p>
    <w:p w14:paraId="52918DAA" w14:textId="77777777" w:rsidR="008850C1" w:rsidRDefault="008850C1" w:rsidP="001A09F2">
      <w:pPr>
        <w:pStyle w:val="Heading1"/>
        <w:rPr>
          <w:lang w:val="en-US"/>
        </w:rPr>
      </w:pPr>
      <w:r w:rsidRPr="00AE2131">
        <w:t>Should stand-alone systems be regulated under a national framework</w:t>
      </w:r>
      <w:r w:rsidRPr="008850C1">
        <w:rPr>
          <w:lang w:val="en-US"/>
        </w:rPr>
        <w:t>?</w:t>
      </w:r>
    </w:p>
    <w:p w14:paraId="678CCC43" w14:textId="4FED0856" w:rsidR="002878B8" w:rsidRPr="006E557F" w:rsidRDefault="00D143A6" w:rsidP="006E476D">
      <w:pPr>
        <w:rPr>
          <w:lang w:val="en-AU"/>
        </w:rPr>
      </w:pPr>
      <w:r>
        <w:rPr>
          <w:lang w:val="en-US"/>
        </w:rPr>
        <w:t>PIAC is of the view that stand</w:t>
      </w:r>
      <w:r w:rsidR="005D6B53">
        <w:rPr>
          <w:lang w:val="en-US"/>
        </w:rPr>
        <w:t>-alone</w:t>
      </w:r>
      <w:r w:rsidR="00741CDB">
        <w:rPr>
          <w:lang w:val="en-US"/>
        </w:rPr>
        <w:t xml:space="preserve"> systems should be regulated under a national framework</w:t>
      </w:r>
      <w:r w:rsidR="00163372">
        <w:rPr>
          <w:lang w:val="en-US"/>
        </w:rPr>
        <w:t xml:space="preserve"> to provide consistency across jurisdictions</w:t>
      </w:r>
      <w:r>
        <w:rPr>
          <w:lang w:val="en-US"/>
        </w:rPr>
        <w:t>. T</w:t>
      </w:r>
      <w:r w:rsidR="00163372">
        <w:rPr>
          <w:lang w:val="en-US"/>
        </w:rPr>
        <w:t xml:space="preserve">his will ensure consumers are </w:t>
      </w:r>
      <w:r>
        <w:rPr>
          <w:lang w:val="en-US"/>
        </w:rPr>
        <w:t xml:space="preserve">equitably </w:t>
      </w:r>
      <w:r w:rsidR="00163372">
        <w:rPr>
          <w:lang w:val="en-US"/>
        </w:rPr>
        <w:t xml:space="preserve">protected and </w:t>
      </w:r>
      <w:r w:rsidR="0066252A">
        <w:rPr>
          <w:lang w:val="en-US"/>
        </w:rPr>
        <w:t xml:space="preserve">will </w:t>
      </w:r>
      <w:r w:rsidR="00163372">
        <w:rPr>
          <w:lang w:val="en-US"/>
        </w:rPr>
        <w:t xml:space="preserve">reduce administrative costs associated with working across jurisdictions for third parties and system </w:t>
      </w:r>
      <w:r w:rsidR="00744E2F">
        <w:rPr>
          <w:lang w:val="en-US"/>
        </w:rPr>
        <w:t>managers</w:t>
      </w:r>
      <w:r w:rsidR="00163372">
        <w:rPr>
          <w:lang w:val="en-US"/>
        </w:rPr>
        <w:t>.</w:t>
      </w:r>
      <w:r w:rsidR="008E799E">
        <w:rPr>
          <w:lang w:val="en-US"/>
        </w:rPr>
        <w:t xml:space="preserve"> </w:t>
      </w:r>
      <w:r w:rsidR="004330CA">
        <w:rPr>
          <w:lang w:val="en-US"/>
        </w:rPr>
        <w:t>A national</w:t>
      </w:r>
      <w:r w:rsidR="008E799E">
        <w:rPr>
          <w:lang w:val="en-US"/>
        </w:rPr>
        <w:t xml:space="preserve"> approach</w:t>
      </w:r>
      <w:r w:rsidR="00553D0A">
        <w:rPr>
          <w:lang w:val="en-US"/>
        </w:rPr>
        <w:t xml:space="preserve"> has practical benefits that are recognized </w:t>
      </w:r>
      <w:r w:rsidR="0066252A">
        <w:rPr>
          <w:lang w:val="en-US"/>
        </w:rPr>
        <w:t xml:space="preserve">in </w:t>
      </w:r>
      <w:r w:rsidR="00881D13">
        <w:rPr>
          <w:lang w:val="en-US"/>
        </w:rPr>
        <w:t xml:space="preserve">the move </w:t>
      </w:r>
      <w:r w:rsidR="003D73D2">
        <w:rPr>
          <w:lang w:val="en-US"/>
        </w:rPr>
        <w:t>toward</w:t>
      </w:r>
      <w:r w:rsidR="002D6874">
        <w:rPr>
          <w:lang w:val="en-US"/>
        </w:rPr>
        <w:t>s</w:t>
      </w:r>
      <w:r w:rsidR="003D73D2">
        <w:rPr>
          <w:lang w:val="en-US"/>
        </w:rPr>
        <w:t xml:space="preserve"> harmonization</w:t>
      </w:r>
      <w:r w:rsidR="00134A02">
        <w:rPr>
          <w:lang w:val="en-US"/>
        </w:rPr>
        <w:t>,</w:t>
      </w:r>
      <w:r w:rsidR="00553D0A">
        <w:rPr>
          <w:lang w:val="en-US"/>
        </w:rPr>
        <w:t xml:space="preserve"> such as</w:t>
      </w:r>
      <w:r w:rsidR="008E799E">
        <w:rPr>
          <w:lang w:val="en-US"/>
        </w:rPr>
        <w:t xml:space="preserve"> </w:t>
      </w:r>
      <w:r w:rsidR="003D73D2">
        <w:rPr>
          <w:lang w:val="en-US"/>
        </w:rPr>
        <w:t>the development of</w:t>
      </w:r>
      <w:r w:rsidR="008E799E">
        <w:rPr>
          <w:lang w:val="en-US"/>
        </w:rPr>
        <w:t xml:space="preserve"> </w:t>
      </w:r>
      <w:r w:rsidR="00F430B7">
        <w:rPr>
          <w:lang w:val="en-US"/>
        </w:rPr>
        <w:t xml:space="preserve">a </w:t>
      </w:r>
      <w:r w:rsidR="008E799E">
        <w:rPr>
          <w:lang w:val="en-US"/>
        </w:rPr>
        <w:t xml:space="preserve">national ring-fencing guideline </w:t>
      </w:r>
      <w:r w:rsidR="00553D0A">
        <w:rPr>
          <w:lang w:val="en-US"/>
        </w:rPr>
        <w:t xml:space="preserve">that is to </w:t>
      </w:r>
      <w:r w:rsidR="006E557F">
        <w:rPr>
          <w:lang w:val="en-US"/>
        </w:rPr>
        <w:t>supersede</w:t>
      </w:r>
      <w:r w:rsidR="008E799E">
        <w:rPr>
          <w:lang w:val="en-US"/>
        </w:rPr>
        <w:t xml:space="preserve"> the jurisdiction</w:t>
      </w:r>
      <w:r w:rsidR="002036FE">
        <w:rPr>
          <w:lang w:val="en-US"/>
        </w:rPr>
        <w:t>al</w:t>
      </w:r>
      <w:r w:rsidR="008E799E">
        <w:rPr>
          <w:lang w:val="en-US"/>
        </w:rPr>
        <w:t xml:space="preserve"> guidelines</w:t>
      </w:r>
      <w:r w:rsidR="00553D0A">
        <w:rPr>
          <w:lang w:val="en-US"/>
        </w:rPr>
        <w:t xml:space="preserve">, as well as the development of the National Energy Customer Framework. As </w:t>
      </w:r>
      <w:r w:rsidR="008E799E">
        <w:rPr>
          <w:lang w:val="en-US"/>
        </w:rPr>
        <w:t xml:space="preserve">the </w:t>
      </w:r>
      <w:r w:rsidR="00AD50BD">
        <w:rPr>
          <w:lang w:val="en-US"/>
        </w:rPr>
        <w:t xml:space="preserve">second reading speeches </w:t>
      </w:r>
      <w:r w:rsidR="006E557F">
        <w:rPr>
          <w:lang w:val="en-US"/>
        </w:rPr>
        <w:t xml:space="preserve">introducing the </w:t>
      </w:r>
      <w:r w:rsidR="003D73D2">
        <w:rPr>
          <w:lang w:val="en-US"/>
        </w:rPr>
        <w:t xml:space="preserve">NECF explained, </w:t>
      </w:r>
      <w:r w:rsidR="003D73D2">
        <w:rPr>
          <w:lang w:val="en-AU"/>
        </w:rPr>
        <w:t xml:space="preserve">a national approach </w:t>
      </w:r>
      <w:r w:rsidR="00C8507E">
        <w:rPr>
          <w:lang w:val="en-AU"/>
        </w:rPr>
        <w:t>is</w:t>
      </w:r>
      <w:r w:rsidR="00F430B7">
        <w:rPr>
          <w:lang w:val="en-AU"/>
        </w:rPr>
        <w:t xml:space="preserve"> expected</w:t>
      </w:r>
      <w:r w:rsidR="00C8507E">
        <w:rPr>
          <w:lang w:val="en-AU"/>
        </w:rPr>
        <w:t xml:space="preserve"> to</w:t>
      </w:r>
      <w:r w:rsidR="008E799E" w:rsidRPr="008E799E">
        <w:rPr>
          <w:lang w:val="en-AU"/>
        </w:rPr>
        <w:t xml:space="preserve"> help reduce the regulatory burden on energy </w:t>
      </w:r>
      <w:r w:rsidR="00C8507E">
        <w:rPr>
          <w:lang w:val="en-AU"/>
        </w:rPr>
        <w:t>providers</w:t>
      </w:r>
      <w:r w:rsidR="008E799E" w:rsidRPr="008E799E">
        <w:rPr>
          <w:lang w:val="en-AU"/>
        </w:rPr>
        <w:t xml:space="preserve">, open the market to greater competition and provide a stronger range of </w:t>
      </w:r>
      <w:r w:rsidR="00134A02" w:rsidRPr="008E799E">
        <w:rPr>
          <w:lang w:val="en-AU"/>
        </w:rPr>
        <w:t>energy</w:t>
      </w:r>
      <w:r w:rsidR="00134A02">
        <w:rPr>
          <w:lang w:val="en-AU"/>
        </w:rPr>
        <w:t>-</w:t>
      </w:r>
      <w:r w:rsidR="008E799E" w:rsidRPr="008E799E">
        <w:rPr>
          <w:lang w:val="en-AU"/>
        </w:rPr>
        <w:t>specific consumer protections</w:t>
      </w:r>
      <w:r w:rsidR="008E799E">
        <w:rPr>
          <w:lang w:val="en-AU"/>
        </w:rPr>
        <w:t>.</w:t>
      </w:r>
      <w:r w:rsidR="008E799E">
        <w:rPr>
          <w:rStyle w:val="FootnoteReference"/>
          <w:lang w:val="en-AU"/>
        </w:rPr>
        <w:footnoteReference w:id="4"/>
      </w:r>
      <w:r w:rsidR="008E799E" w:rsidRPr="008E799E">
        <w:rPr>
          <w:lang w:val="en-AU"/>
        </w:rPr>
        <w:t xml:space="preserve"> </w:t>
      </w:r>
      <w:r w:rsidR="00C8507E">
        <w:rPr>
          <w:lang w:val="en-US"/>
        </w:rPr>
        <w:t>In this context, PIAC supports the principle that a</w:t>
      </w:r>
      <w:r w:rsidR="00AD50BD">
        <w:rPr>
          <w:lang w:val="en-US"/>
        </w:rPr>
        <w:t xml:space="preserve"> national approach should reduce barriers to competition and in turn </w:t>
      </w:r>
      <w:r w:rsidR="00882C72">
        <w:rPr>
          <w:lang w:val="en-US"/>
        </w:rPr>
        <w:t>contribute to</w:t>
      </w:r>
      <w:r w:rsidR="00385F64">
        <w:rPr>
          <w:lang w:val="en-US"/>
        </w:rPr>
        <w:t xml:space="preserve"> lower costs. </w:t>
      </w:r>
    </w:p>
    <w:p w14:paraId="1257EA92" w14:textId="6506F8BB" w:rsidR="006E476D" w:rsidRDefault="006E476D" w:rsidP="006E476D">
      <w:pPr>
        <w:rPr>
          <w:lang w:val="en-US"/>
        </w:rPr>
      </w:pPr>
      <w:r>
        <w:rPr>
          <w:lang w:val="en-US"/>
        </w:rPr>
        <w:t xml:space="preserve"> </w:t>
      </w:r>
    </w:p>
    <w:p w14:paraId="703527A7" w14:textId="4043D617" w:rsidR="005F56C8" w:rsidRDefault="009E24BE" w:rsidP="00AE2131">
      <w:pPr>
        <w:rPr>
          <w:lang w:val="en-US"/>
        </w:rPr>
      </w:pPr>
      <w:r>
        <w:rPr>
          <w:lang w:val="en-US"/>
        </w:rPr>
        <w:t xml:space="preserve">More generally, the </w:t>
      </w:r>
      <w:r w:rsidR="00134A02">
        <w:rPr>
          <w:lang w:val="en-US"/>
        </w:rPr>
        <w:t xml:space="preserve">development </w:t>
      </w:r>
      <w:r>
        <w:rPr>
          <w:lang w:val="en-US"/>
        </w:rPr>
        <w:t xml:space="preserve">of stand-alone systems can benefit </w:t>
      </w:r>
      <w:r w:rsidR="00AB5AEB">
        <w:rPr>
          <w:lang w:val="en-US"/>
        </w:rPr>
        <w:t>consumers</w:t>
      </w:r>
      <w:r w:rsidR="00D14CC2">
        <w:rPr>
          <w:lang w:val="en-US"/>
        </w:rPr>
        <w:t xml:space="preserve"> </w:t>
      </w:r>
      <w:r>
        <w:rPr>
          <w:lang w:val="en-US"/>
        </w:rPr>
        <w:t xml:space="preserve">by </w:t>
      </w:r>
      <w:r w:rsidR="00982F23">
        <w:rPr>
          <w:lang w:val="en-US"/>
        </w:rPr>
        <w:t xml:space="preserve">facilitating a shift to </w:t>
      </w:r>
      <w:r w:rsidR="00C60BE1">
        <w:rPr>
          <w:lang w:val="en-US"/>
        </w:rPr>
        <w:t xml:space="preserve">demand management and other non-network </w:t>
      </w:r>
      <w:r w:rsidR="00AD34D1">
        <w:rPr>
          <w:lang w:val="en-US"/>
        </w:rPr>
        <w:t>solutions</w:t>
      </w:r>
      <w:r w:rsidR="00C60BE1">
        <w:rPr>
          <w:lang w:val="en-US"/>
        </w:rPr>
        <w:t xml:space="preserve"> to address system </w:t>
      </w:r>
      <w:r w:rsidR="00DD34FC">
        <w:rPr>
          <w:lang w:val="en-US"/>
        </w:rPr>
        <w:t xml:space="preserve">peak </w:t>
      </w:r>
      <w:r w:rsidR="00C60BE1">
        <w:rPr>
          <w:lang w:val="en-US"/>
        </w:rPr>
        <w:t>demand</w:t>
      </w:r>
      <w:r w:rsidR="00D14CC2">
        <w:rPr>
          <w:lang w:val="en-US"/>
        </w:rPr>
        <w:t>. Customers</w:t>
      </w:r>
      <w:r w:rsidR="00C60BE1">
        <w:rPr>
          <w:lang w:val="en-US"/>
        </w:rPr>
        <w:t xml:space="preserve"> who are serviced by </w:t>
      </w:r>
      <w:r w:rsidR="00D14CC2">
        <w:rPr>
          <w:lang w:val="en-US"/>
        </w:rPr>
        <w:t xml:space="preserve">stand-alone </w:t>
      </w:r>
      <w:r w:rsidR="00C60BE1">
        <w:rPr>
          <w:lang w:val="en-US"/>
        </w:rPr>
        <w:t>systems</w:t>
      </w:r>
      <w:r w:rsidR="00CE0145">
        <w:rPr>
          <w:lang w:val="en-US"/>
        </w:rPr>
        <w:t xml:space="preserve"> should be able to </w:t>
      </w:r>
      <w:r w:rsidR="003C0066">
        <w:rPr>
          <w:lang w:val="en-US"/>
        </w:rPr>
        <w:t>explicitly</w:t>
      </w:r>
      <w:r w:rsidR="00CE0145">
        <w:rPr>
          <w:lang w:val="en-US"/>
        </w:rPr>
        <w:t xml:space="preserve"> benefit from the use of </w:t>
      </w:r>
      <w:r w:rsidR="00D14CC2">
        <w:rPr>
          <w:lang w:val="en-US"/>
        </w:rPr>
        <w:t>the</w:t>
      </w:r>
      <w:r w:rsidR="00882C72">
        <w:rPr>
          <w:lang w:val="en-US"/>
        </w:rPr>
        <w:t>s</w:t>
      </w:r>
      <w:r w:rsidR="00D14CC2">
        <w:rPr>
          <w:lang w:val="en-US"/>
        </w:rPr>
        <w:t>e</w:t>
      </w:r>
      <w:r w:rsidR="00CE0145">
        <w:rPr>
          <w:lang w:val="en-US"/>
        </w:rPr>
        <w:t xml:space="preserve"> systems thr</w:t>
      </w:r>
      <w:r w:rsidR="00882C72">
        <w:rPr>
          <w:lang w:val="en-US"/>
        </w:rPr>
        <w:t xml:space="preserve">ough benefit sharing schemes. </w:t>
      </w:r>
      <w:r w:rsidR="005D5FA5">
        <w:rPr>
          <w:lang w:val="en-US"/>
        </w:rPr>
        <w:t xml:space="preserve">PIAC notes that there </w:t>
      </w:r>
      <w:r w:rsidR="00D14CC2">
        <w:rPr>
          <w:lang w:val="en-US"/>
        </w:rPr>
        <w:t xml:space="preserve">is a risk that a community may be taken off-grid </w:t>
      </w:r>
      <w:r w:rsidR="005D5FA5">
        <w:rPr>
          <w:lang w:val="en-US"/>
        </w:rPr>
        <w:t xml:space="preserve">on the basis that it is </w:t>
      </w:r>
      <w:r w:rsidR="00D14CC2">
        <w:rPr>
          <w:lang w:val="en-US"/>
        </w:rPr>
        <w:t xml:space="preserve">the </w:t>
      </w:r>
      <w:r w:rsidR="00134A02">
        <w:rPr>
          <w:lang w:val="en-US"/>
        </w:rPr>
        <w:t>most cost-effective</w:t>
      </w:r>
      <w:r w:rsidR="00D14CC2">
        <w:rPr>
          <w:lang w:val="en-US"/>
        </w:rPr>
        <w:t xml:space="preserve"> solution</w:t>
      </w:r>
      <w:r w:rsidR="00134A02">
        <w:rPr>
          <w:lang w:val="en-US"/>
        </w:rPr>
        <w:t xml:space="preserve"> for the network</w:t>
      </w:r>
      <w:r w:rsidR="00D14CC2">
        <w:rPr>
          <w:lang w:val="en-US"/>
        </w:rPr>
        <w:t>, but</w:t>
      </w:r>
      <w:r w:rsidR="00BA2812">
        <w:rPr>
          <w:lang w:val="en-US"/>
        </w:rPr>
        <w:t xml:space="preserve">, </w:t>
      </w:r>
      <w:r w:rsidR="00D14CC2">
        <w:rPr>
          <w:lang w:val="en-US"/>
        </w:rPr>
        <w:t xml:space="preserve">due to the </w:t>
      </w:r>
      <w:r w:rsidR="00886B3C">
        <w:rPr>
          <w:lang w:val="en-US"/>
        </w:rPr>
        <w:t xml:space="preserve">cost </w:t>
      </w:r>
      <w:r w:rsidR="00D14CC2">
        <w:rPr>
          <w:lang w:val="en-US"/>
        </w:rPr>
        <w:t xml:space="preserve">of their </w:t>
      </w:r>
      <w:r w:rsidR="00134A02">
        <w:rPr>
          <w:lang w:val="en-US"/>
        </w:rPr>
        <w:t xml:space="preserve">local </w:t>
      </w:r>
      <w:r w:rsidR="00D14CC2">
        <w:rPr>
          <w:lang w:val="en-US"/>
        </w:rPr>
        <w:t>supply</w:t>
      </w:r>
      <w:r w:rsidR="005D5FA5">
        <w:rPr>
          <w:lang w:val="en-US"/>
        </w:rPr>
        <w:t>,</w:t>
      </w:r>
      <w:r w:rsidR="00D14CC2">
        <w:rPr>
          <w:lang w:val="en-US"/>
        </w:rPr>
        <w:t xml:space="preserve"> </w:t>
      </w:r>
      <w:r w:rsidR="00F33C2D">
        <w:rPr>
          <w:lang w:val="en-US"/>
        </w:rPr>
        <w:t xml:space="preserve">may </w:t>
      </w:r>
      <w:r w:rsidR="00D14CC2">
        <w:rPr>
          <w:lang w:val="en-US"/>
        </w:rPr>
        <w:t>end up paying more than grid</w:t>
      </w:r>
      <w:r w:rsidR="005D5FA5">
        <w:rPr>
          <w:lang w:val="en-US"/>
        </w:rPr>
        <w:t>-</w:t>
      </w:r>
      <w:r w:rsidR="00D14CC2">
        <w:rPr>
          <w:lang w:val="en-US"/>
        </w:rPr>
        <w:t xml:space="preserve">connected customers who have benefited </w:t>
      </w:r>
      <w:r w:rsidR="005D5FA5">
        <w:rPr>
          <w:lang w:val="en-US"/>
        </w:rPr>
        <w:t xml:space="preserve">from </w:t>
      </w:r>
      <w:r w:rsidR="00D14CC2">
        <w:rPr>
          <w:lang w:val="en-US"/>
        </w:rPr>
        <w:t xml:space="preserve">the </w:t>
      </w:r>
      <w:r w:rsidR="005D5FA5">
        <w:rPr>
          <w:lang w:val="en-US"/>
        </w:rPr>
        <w:t xml:space="preserve">positive effect </w:t>
      </w:r>
      <w:r w:rsidR="00134A02">
        <w:rPr>
          <w:lang w:val="en-US"/>
        </w:rPr>
        <w:t xml:space="preserve">of these systems </w:t>
      </w:r>
      <w:r w:rsidR="005D5FA5">
        <w:rPr>
          <w:lang w:val="en-US"/>
        </w:rPr>
        <w:t xml:space="preserve">on the </w:t>
      </w:r>
      <w:r w:rsidR="00D67DFB">
        <w:rPr>
          <w:lang w:val="en-US"/>
        </w:rPr>
        <w:t xml:space="preserve">management of the </w:t>
      </w:r>
      <w:r w:rsidR="005D5FA5">
        <w:rPr>
          <w:lang w:val="en-US"/>
        </w:rPr>
        <w:t>grid</w:t>
      </w:r>
      <w:r w:rsidR="00CE0145">
        <w:rPr>
          <w:lang w:val="en-US"/>
        </w:rPr>
        <w:t xml:space="preserve">. </w:t>
      </w:r>
      <w:r w:rsidR="00134A02">
        <w:rPr>
          <w:lang w:val="en-US"/>
        </w:rPr>
        <w:t xml:space="preserve">For this reason, </w:t>
      </w:r>
      <w:r w:rsidR="00DD34FC">
        <w:rPr>
          <w:lang w:val="en-US"/>
        </w:rPr>
        <w:t xml:space="preserve">PIAC advocates for a price cap in this submission. </w:t>
      </w:r>
    </w:p>
    <w:p w14:paraId="5D0B0CC8" w14:textId="77777777" w:rsidR="005F56C8" w:rsidRPr="005F56C8" w:rsidRDefault="005F56C8" w:rsidP="00584536">
      <w:pPr>
        <w:pStyle w:val="Heading1"/>
        <w:rPr>
          <w:lang w:val="en-US"/>
        </w:rPr>
      </w:pPr>
      <w:r w:rsidRPr="005F56C8">
        <w:rPr>
          <w:lang w:val="en-US"/>
        </w:rPr>
        <w:t>What principles should be adopted in determining the need for, and nature of, any new regulator arrangements that will apply to stand-alone energy systems?</w:t>
      </w:r>
    </w:p>
    <w:p w14:paraId="7AEA2A33" w14:textId="0720D0DB" w:rsidR="006E476D" w:rsidRDefault="001F4877" w:rsidP="00417432">
      <w:pPr>
        <w:rPr>
          <w:lang w:val="en-US"/>
        </w:rPr>
      </w:pPr>
      <w:r>
        <w:rPr>
          <w:lang w:val="en-US"/>
        </w:rPr>
        <w:t xml:space="preserve">In terms of </w:t>
      </w:r>
      <w:r w:rsidR="00404B89">
        <w:rPr>
          <w:lang w:val="en-US"/>
        </w:rPr>
        <w:t xml:space="preserve">the definition of </w:t>
      </w:r>
      <w:r>
        <w:rPr>
          <w:lang w:val="en-US"/>
        </w:rPr>
        <w:t xml:space="preserve">stand-alone systems, </w:t>
      </w:r>
      <w:r w:rsidR="00A97575">
        <w:rPr>
          <w:lang w:val="en-US"/>
        </w:rPr>
        <w:t>PIAC supports the inclusion of systems</w:t>
      </w:r>
      <w:r w:rsidR="00417432">
        <w:rPr>
          <w:lang w:val="en-US"/>
        </w:rPr>
        <w:t xml:space="preserve"> that remain connected to</w:t>
      </w:r>
      <w:r w:rsidR="00A97575">
        <w:rPr>
          <w:lang w:val="en-US"/>
        </w:rPr>
        <w:t xml:space="preserve"> the </w:t>
      </w:r>
      <w:r w:rsidR="0006360F">
        <w:rPr>
          <w:lang w:val="en-US"/>
        </w:rPr>
        <w:t xml:space="preserve">NEM </w:t>
      </w:r>
      <w:r w:rsidR="00A97575">
        <w:rPr>
          <w:lang w:val="en-US"/>
        </w:rPr>
        <w:t>but can be isolated or islanded from the main network.</w:t>
      </w:r>
      <w:r w:rsidR="0061187A">
        <w:rPr>
          <w:lang w:val="en-US"/>
        </w:rPr>
        <w:t xml:space="preserve"> We recognise that systems that are islanded but </w:t>
      </w:r>
      <w:r w:rsidR="00404B89">
        <w:rPr>
          <w:lang w:val="en-US"/>
        </w:rPr>
        <w:t xml:space="preserve">keep </w:t>
      </w:r>
      <w:r w:rsidR="0061187A">
        <w:rPr>
          <w:lang w:val="en-US"/>
        </w:rPr>
        <w:t xml:space="preserve">a physical connection to the grid have a form of back up that </w:t>
      </w:r>
      <w:r w:rsidR="00134A02">
        <w:rPr>
          <w:lang w:val="en-US"/>
        </w:rPr>
        <w:t xml:space="preserve">can </w:t>
      </w:r>
      <w:r w:rsidR="0061187A">
        <w:rPr>
          <w:lang w:val="en-US"/>
        </w:rPr>
        <w:t xml:space="preserve">be </w:t>
      </w:r>
      <w:r w:rsidR="0006360F">
        <w:rPr>
          <w:lang w:val="en-US"/>
        </w:rPr>
        <w:t>drawn upon</w:t>
      </w:r>
      <w:r w:rsidR="0061187A">
        <w:rPr>
          <w:lang w:val="en-US"/>
        </w:rPr>
        <w:t xml:space="preserve"> </w:t>
      </w:r>
      <w:r w:rsidR="00134A02">
        <w:rPr>
          <w:lang w:val="en-US"/>
        </w:rPr>
        <w:t>when required</w:t>
      </w:r>
      <w:r w:rsidR="005945C8">
        <w:rPr>
          <w:lang w:val="en-US"/>
        </w:rPr>
        <w:t>, and so risk is lower</w:t>
      </w:r>
      <w:r w:rsidR="0061187A">
        <w:rPr>
          <w:lang w:val="en-US"/>
        </w:rPr>
        <w:t xml:space="preserve">. </w:t>
      </w:r>
      <w:r w:rsidR="00754EA7">
        <w:rPr>
          <w:lang w:val="en-US"/>
        </w:rPr>
        <w:t xml:space="preserve">However, PIAC believes that </w:t>
      </w:r>
      <w:r w:rsidR="00134A02">
        <w:rPr>
          <w:lang w:val="en-US"/>
        </w:rPr>
        <w:t>the variable</w:t>
      </w:r>
      <w:r w:rsidR="0006360F">
        <w:rPr>
          <w:lang w:val="en-US"/>
        </w:rPr>
        <w:t xml:space="preserve"> level of</w:t>
      </w:r>
      <w:r w:rsidR="00754EA7">
        <w:rPr>
          <w:lang w:val="en-US"/>
        </w:rPr>
        <w:t xml:space="preserve"> risk can be accommodated under </w:t>
      </w:r>
      <w:r w:rsidR="00A46DAD">
        <w:rPr>
          <w:lang w:val="en-US"/>
        </w:rPr>
        <w:t>any</w:t>
      </w:r>
      <w:r w:rsidR="00754EA7">
        <w:rPr>
          <w:lang w:val="en-US"/>
        </w:rPr>
        <w:t xml:space="preserve"> framework that is developed to regulate stand-alone systems. While these communities may have </w:t>
      </w:r>
      <w:r w:rsidR="00E562D9">
        <w:rPr>
          <w:lang w:val="en-US"/>
        </w:rPr>
        <w:t xml:space="preserve">some access to a </w:t>
      </w:r>
      <w:r w:rsidR="00754EA7">
        <w:rPr>
          <w:lang w:val="en-US"/>
        </w:rPr>
        <w:t xml:space="preserve">physical connection to the grid, they are still being served by a </w:t>
      </w:r>
      <w:r w:rsidR="008854EA">
        <w:rPr>
          <w:lang w:val="en-US"/>
        </w:rPr>
        <w:t>system</w:t>
      </w:r>
      <w:r w:rsidR="0006360F">
        <w:rPr>
          <w:lang w:val="en-US"/>
        </w:rPr>
        <w:t xml:space="preserve"> </w:t>
      </w:r>
      <w:r w:rsidR="00B4220F">
        <w:rPr>
          <w:lang w:val="en-US"/>
        </w:rPr>
        <w:t xml:space="preserve">that can be cut off completely </w:t>
      </w:r>
      <w:r w:rsidR="008854EA">
        <w:rPr>
          <w:lang w:val="en-US"/>
        </w:rPr>
        <w:t>and</w:t>
      </w:r>
      <w:r w:rsidR="00404B89">
        <w:rPr>
          <w:lang w:val="en-US"/>
        </w:rPr>
        <w:t xml:space="preserve"> </w:t>
      </w:r>
      <w:r w:rsidR="008854EA">
        <w:rPr>
          <w:lang w:val="en-US"/>
        </w:rPr>
        <w:t xml:space="preserve">PIAC believes they should be </w:t>
      </w:r>
      <w:r w:rsidR="003A1D08">
        <w:rPr>
          <w:lang w:val="en-US"/>
        </w:rPr>
        <w:t xml:space="preserve">governed </w:t>
      </w:r>
      <w:r w:rsidR="008854EA">
        <w:rPr>
          <w:lang w:val="en-US"/>
        </w:rPr>
        <w:t>under stand-alone system regulation, particularly with regard to customer protections</w:t>
      </w:r>
      <w:r w:rsidR="006E6528">
        <w:rPr>
          <w:lang w:val="en-US"/>
        </w:rPr>
        <w:t xml:space="preserve">, which </w:t>
      </w:r>
      <w:r w:rsidR="003A1D08">
        <w:rPr>
          <w:lang w:val="en-US"/>
        </w:rPr>
        <w:t xml:space="preserve">are </w:t>
      </w:r>
      <w:r w:rsidR="008854EA">
        <w:rPr>
          <w:lang w:val="en-US"/>
        </w:rPr>
        <w:t xml:space="preserve">discussed </w:t>
      </w:r>
      <w:r w:rsidR="006E6528">
        <w:rPr>
          <w:lang w:val="en-US"/>
        </w:rPr>
        <w:t xml:space="preserve">further </w:t>
      </w:r>
      <w:r w:rsidR="008854EA">
        <w:rPr>
          <w:lang w:val="en-US"/>
        </w:rPr>
        <w:t>below.</w:t>
      </w:r>
    </w:p>
    <w:p w14:paraId="4B47653B" w14:textId="77777777" w:rsidR="002922B1" w:rsidRDefault="002922B1" w:rsidP="00417432">
      <w:pPr>
        <w:rPr>
          <w:lang w:val="en-US"/>
        </w:rPr>
      </w:pPr>
    </w:p>
    <w:p w14:paraId="16FB553E" w14:textId="4F22E091" w:rsidR="00996379" w:rsidRDefault="003A1D08" w:rsidP="00417432">
      <w:pPr>
        <w:rPr>
          <w:lang w:val="en-US"/>
        </w:rPr>
      </w:pPr>
      <w:r>
        <w:rPr>
          <w:lang w:val="en-US"/>
        </w:rPr>
        <w:t>PIAC recommends that t</w:t>
      </w:r>
      <w:r w:rsidR="00A97575">
        <w:rPr>
          <w:lang w:val="en-US"/>
        </w:rPr>
        <w:t xml:space="preserve">he owner or operator of </w:t>
      </w:r>
      <w:r w:rsidR="00404B89">
        <w:rPr>
          <w:lang w:val="en-US"/>
        </w:rPr>
        <w:t xml:space="preserve">a </w:t>
      </w:r>
      <w:r w:rsidR="00A97575">
        <w:rPr>
          <w:lang w:val="en-US"/>
        </w:rPr>
        <w:t>s</w:t>
      </w:r>
      <w:r w:rsidR="00291BD4">
        <w:rPr>
          <w:lang w:val="en-US"/>
        </w:rPr>
        <w:t xml:space="preserve">tand-alone system should be required to </w:t>
      </w:r>
      <w:r w:rsidR="00404B89">
        <w:rPr>
          <w:lang w:val="en-US"/>
        </w:rPr>
        <w:t xml:space="preserve">list </w:t>
      </w:r>
      <w:r w:rsidR="00AE083C">
        <w:rPr>
          <w:lang w:val="en-US"/>
        </w:rPr>
        <w:t xml:space="preserve">the system </w:t>
      </w:r>
      <w:r w:rsidR="00404B89">
        <w:rPr>
          <w:lang w:val="en-US"/>
        </w:rPr>
        <w:t>on</w:t>
      </w:r>
      <w:r w:rsidR="00291BD4">
        <w:rPr>
          <w:lang w:val="en-US"/>
        </w:rPr>
        <w:t xml:space="preserve"> a public register</w:t>
      </w:r>
      <w:r w:rsidR="00404B89">
        <w:rPr>
          <w:lang w:val="en-US"/>
        </w:rPr>
        <w:t>,</w:t>
      </w:r>
      <w:r w:rsidR="00291BD4">
        <w:rPr>
          <w:lang w:val="en-US"/>
        </w:rPr>
        <w:t xml:space="preserve"> similar to the </w:t>
      </w:r>
      <w:r w:rsidR="00DB2B60">
        <w:rPr>
          <w:lang w:val="en-US"/>
        </w:rPr>
        <w:t>p</w:t>
      </w:r>
      <w:r w:rsidR="00DB2B60" w:rsidRPr="00DB2B60">
        <w:rPr>
          <w:lang w:val="en-US"/>
        </w:rPr>
        <w:t>ublic register of net</w:t>
      </w:r>
      <w:r w:rsidR="00DB2B60">
        <w:rPr>
          <w:lang w:val="en-US"/>
        </w:rPr>
        <w:t>work service provider exemptions as approved by the</w:t>
      </w:r>
      <w:r w:rsidR="0082256A">
        <w:rPr>
          <w:lang w:val="en-US"/>
        </w:rPr>
        <w:t xml:space="preserve"> Australian Energy Regulator (AER)</w:t>
      </w:r>
      <w:r w:rsidR="00607D54">
        <w:rPr>
          <w:lang w:val="en-US"/>
        </w:rPr>
        <w:t>.</w:t>
      </w:r>
      <w:r w:rsidR="00DB2B60">
        <w:rPr>
          <w:rStyle w:val="FootnoteReference"/>
          <w:lang w:val="en-US"/>
        </w:rPr>
        <w:footnoteReference w:id="5"/>
      </w:r>
      <w:r w:rsidR="00700811">
        <w:rPr>
          <w:lang w:val="en-US"/>
        </w:rPr>
        <w:t xml:space="preserve"> </w:t>
      </w:r>
      <w:r w:rsidR="00A97575">
        <w:rPr>
          <w:lang w:val="en-US"/>
        </w:rPr>
        <w:t xml:space="preserve">Registration </w:t>
      </w:r>
      <w:r w:rsidR="00404B89">
        <w:rPr>
          <w:lang w:val="en-US"/>
        </w:rPr>
        <w:t>w</w:t>
      </w:r>
      <w:r w:rsidR="006E735B">
        <w:rPr>
          <w:lang w:val="en-US"/>
        </w:rPr>
        <w:t xml:space="preserve">ould </w:t>
      </w:r>
      <w:r w:rsidR="00700811">
        <w:rPr>
          <w:lang w:val="en-US"/>
        </w:rPr>
        <w:t>ensure that</w:t>
      </w:r>
      <w:r w:rsidR="002922B1">
        <w:rPr>
          <w:lang w:val="en-US"/>
        </w:rPr>
        <w:t>,</w:t>
      </w:r>
      <w:r w:rsidR="00700811">
        <w:rPr>
          <w:lang w:val="en-US"/>
        </w:rPr>
        <w:t xml:space="preserve"> as these systems become more common, the sector is able to track and understand</w:t>
      </w:r>
      <w:r w:rsidR="00A97575">
        <w:rPr>
          <w:lang w:val="en-US"/>
        </w:rPr>
        <w:t xml:space="preserve"> </w:t>
      </w:r>
      <w:r w:rsidR="002922B1">
        <w:rPr>
          <w:lang w:val="en-US"/>
        </w:rPr>
        <w:t xml:space="preserve">associated </w:t>
      </w:r>
      <w:r w:rsidR="00700811">
        <w:rPr>
          <w:lang w:val="en-US"/>
        </w:rPr>
        <w:t xml:space="preserve">issues </w:t>
      </w:r>
      <w:r w:rsidR="00996379">
        <w:rPr>
          <w:lang w:val="en-US"/>
        </w:rPr>
        <w:t>such as</w:t>
      </w:r>
      <w:r w:rsidR="00700811">
        <w:rPr>
          <w:lang w:val="en-US"/>
        </w:rPr>
        <w:t xml:space="preserve"> how many customers are served by these systems.</w:t>
      </w:r>
      <w:r w:rsidR="007D4C83">
        <w:rPr>
          <w:lang w:val="en-US"/>
        </w:rPr>
        <w:t xml:space="preserve"> This is particularly important in </w:t>
      </w:r>
      <w:r w:rsidR="001909D4">
        <w:rPr>
          <w:lang w:val="en-US"/>
        </w:rPr>
        <w:t>developing</w:t>
      </w:r>
      <w:r w:rsidR="00404B89">
        <w:rPr>
          <w:lang w:val="en-US"/>
        </w:rPr>
        <w:t xml:space="preserve"> </w:t>
      </w:r>
      <w:r w:rsidR="007D4C83">
        <w:rPr>
          <w:lang w:val="en-US"/>
        </w:rPr>
        <w:t xml:space="preserve">accurate modeling and </w:t>
      </w:r>
      <w:r w:rsidR="00404B89">
        <w:rPr>
          <w:lang w:val="en-US"/>
        </w:rPr>
        <w:t>improving</w:t>
      </w:r>
      <w:r w:rsidR="00607D54">
        <w:rPr>
          <w:lang w:val="en-US"/>
        </w:rPr>
        <w:t xml:space="preserve"> </w:t>
      </w:r>
      <w:r w:rsidR="007D4C83">
        <w:rPr>
          <w:lang w:val="en-US"/>
        </w:rPr>
        <w:t>system security and reliability as a whole.</w:t>
      </w:r>
      <w:bookmarkStart w:id="4" w:name="_Ref336847625"/>
      <w:r w:rsidR="007D4C83">
        <w:rPr>
          <w:rStyle w:val="FootnoteReference"/>
          <w:lang w:val="en-US"/>
        </w:rPr>
        <w:footnoteReference w:id="6"/>
      </w:r>
      <w:bookmarkEnd w:id="4"/>
      <w:r w:rsidR="00700811">
        <w:rPr>
          <w:lang w:val="en-US"/>
        </w:rPr>
        <w:t xml:space="preserve"> </w:t>
      </w:r>
      <w:r w:rsidR="009C6003">
        <w:rPr>
          <w:lang w:val="en-US"/>
        </w:rPr>
        <w:t xml:space="preserve">For example, </w:t>
      </w:r>
      <w:r w:rsidR="00700811">
        <w:rPr>
          <w:lang w:val="en-US"/>
        </w:rPr>
        <w:t xml:space="preserve">there is </w:t>
      </w:r>
      <w:r w:rsidR="009C6003">
        <w:rPr>
          <w:lang w:val="en-US"/>
        </w:rPr>
        <w:t xml:space="preserve">currently </w:t>
      </w:r>
      <w:r w:rsidR="006E735B">
        <w:rPr>
          <w:lang w:val="en-US"/>
        </w:rPr>
        <w:t>very little</w:t>
      </w:r>
      <w:r w:rsidR="00700811">
        <w:rPr>
          <w:lang w:val="en-US"/>
        </w:rPr>
        <w:t xml:space="preserve"> </w:t>
      </w:r>
      <w:r w:rsidR="00404B89">
        <w:rPr>
          <w:lang w:val="en-US"/>
        </w:rPr>
        <w:t xml:space="preserve">available </w:t>
      </w:r>
      <w:r w:rsidR="00700811">
        <w:rPr>
          <w:lang w:val="en-US"/>
        </w:rPr>
        <w:t xml:space="preserve">information about the number of embedded networks and this </w:t>
      </w:r>
      <w:r w:rsidR="007D4C83">
        <w:rPr>
          <w:lang w:val="en-US"/>
        </w:rPr>
        <w:t xml:space="preserve">creates barriers to </w:t>
      </w:r>
      <w:r w:rsidR="00FE1BCC">
        <w:rPr>
          <w:lang w:val="en-US"/>
        </w:rPr>
        <w:t xml:space="preserve">ensuring that </w:t>
      </w:r>
      <w:r w:rsidR="00B7156D">
        <w:rPr>
          <w:lang w:val="en-US"/>
        </w:rPr>
        <w:t>protections are sufficient</w:t>
      </w:r>
      <w:r w:rsidR="00700811">
        <w:rPr>
          <w:lang w:val="en-US"/>
        </w:rPr>
        <w:t>.</w:t>
      </w:r>
      <w:bookmarkStart w:id="5" w:name="_Ref336848355"/>
      <w:r w:rsidR="00A97575">
        <w:rPr>
          <w:rStyle w:val="FootnoteReference"/>
          <w:lang w:val="en-US"/>
        </w:rPr>
        <w:footnoteReference w:id="7"/>
      </w:r>
      <w:bookmarkEnd w:id="5"/>
      <w:r w:rsidR="00B7156D">
        <w:rPr>
          <w:lang w:val="en-US"/>
        </w:rPr>
        <w:t xml:space="preserve"> </w:t>
      </w:r>
    </w:p>
    <w:p w14:paraId="3D1F0EC8" w14:textId="77777777" w:rsidR="00996379" w:rsidRDefault="00996379" w:rsidP="00417432">
      <w:pPr>
        <w:rPr>
          <w:lang w:val="en-US"/>
        </w:rPr>
      </w:pPr>
    </w:p>
    <w:p w14:paraId="2D194C69" w14:textId="3799F77A" w:rsidR="00CF4401" w:rsidRDefault="00CF4401" w:rsidP="00417432">
      <w:pPr>
        <w:rPr>
          <w:lang w:val="en-US"/>
        </w:rPr>
      </w:pPr>
      <w:r>
        <w:rPr>
          <w:lang w:val="en-US"/>
        </w:rPr>
        <w:t>The recent review of the Victorian General Exemption Order has recommended that exempt sellers who operate multiple sch</w:t>
      </w:r>
      <w:r w:rsidR="0087415D">
        <w:rPr>
          <w:lang w:val="en-US"/>
        </w:rPr>
        <w:t>emes should be licensed,</w:t>
      </w:r>
      <w:r>
        <w:rPr>
          <w:lang w:val="en-US"/>
        </w:rPr>
        <w:t xml:space="preserve"> as they are operating at a scale that warrants </w:t>
      </w:r>
      <w:r w:rsidR="00214B77">
        <w:rPr>
          <w:lang w:val="en-US"/>
        </w:rPr>
        <w:t>this requirement</w:t>
      </w:r>
      <w:r>
        <w:rPr>
          <w:lang w:val="en-US"/>
        </w:rPr>
        <w:t>.</w:t>
      </w:r>
      <w:bookmarkStart w:id="6" w:name="_Ref336848483"/>
      <w:r w:rsidR="00577019">
        <w:rPr>
          <w:rStyle w:val="FootnoteReference"/>
          <w:lang w:val="en-US"/>
        </w:rPr>
        <w:footnoteReference w:id="8"/>
      </w:r>
      <w:bookmarkEnd w:id="6"/>
      <w:r>
        <w:rPr>
          <w:lang w:val="en-US"/>
        </w:rPr>
        <w:t xml:space="preserve"> </w:t>
      </w:r>
      <w:r w:rsidR="00980AB4">
        <w:rPr>
          <w:lang w:val="en-US"/>
        </w:rPr>
        <w:t>S</w:t>
      </w:r>
      <w:r>
        <w:rPr>
          <w:lang w:val="en-US"/>
        </w:rPr>
        <w:t>tand-alone systems</w:t>
      </w:r>
      <w:r w:rsidR="00980AB4">
        <w:rPr>
          <w:lang w:val="en-US"/>
        </w:rPr>
        <w:t xml:space="preserve"> are analogous</w:t>
      </w:r>
      <w:r>
        <w:rPr>
          <w:lang w:val="en-US"/>
        </w:rPr>
        <w:t>,</w:t>
      </w:r>
      <w:r w:rsidR="00980AB4">
        <w:rPr>
          <w:lang w:val="en-US"/>
        </w:rPr>
        <w:t xml:space="preserve"> and so</w:t>
      </w:r>
      <w:r>
        <w:rPr>
          <w:lang w:val="en-US"/>
        </w:rPr>
        <w:t xml:space="preserve"> if an operator owns multiple </w:t>
      </w:r>
      <w:r w:rsidR="00404B89">
        <w:rPr>
          <w:lang w:val="en-US"/>
        </w:rPr>
        <w:t xml:space="preserve">systems </w:t>
      </w:r>
      <w:r w:rsidR="00B7353C">
        <w:rPr>
          <w:lang w:val="en-US"/>
        </w:rPr>
        <w:t xml:space="preserve">it may be appropriate that they </w:t>
      </w:r>
      <w:r w:rsidR="00AE083C">
        <w:rPr>
          <w:lang w:val="en-US"/>
        </w:rPr>
        <w:t xml:space="preserve">be </w:t>
      </w:r>
      <w:r w:rsidR="0087415D">
        <w:rPr>
          <w:lang w:val="en-US"/>
        </w:rPr>
        <w:t>required to have a license. For</w:t>
      </w:r>
      <w:r>
        <w:rPr>
          <w:lang w:val="en-US"/>
        </w:rPr>
        <w:t xml:space="preserve"> those operators who only own one </w:t>
      </w:r>
      <w:r w:rsidR="00404B89">
        <w:rPr>
          <w:lang w:val="en-US"/>
        </w:rPr>
        <w:t xml:space="preserve">system, </w:t>
      </w:r>
      <w:r>
        <w:rPr>
          <w:lang w:val="en-US"/>
        </w:rPr>
        <w:t>but serve a population of a certain size</w:t>
      </w:r>
      <w:r w:rsidR="0087415D">
        <w:rPr>
          <w:lang w:val="en-US"/>
        </w:rPr>
        <w:t>, this may also be a trigger for licensing</w:t>
      </w:r>
      <w:r>
        <w:rPr>
          <w:lang w:val="en-US"/>
        </w:rPr>
        <w:t>.</w:t>
      </w:r>
      <w:r w:rsidR="00996379">
        <w:rPr>
          <w:lang w:val="en-US"/>
        </w:rPr>
        <w:t xml:space="preserve"> PIAC supports these recommendations.</w:t>
      </w:r>
    </w:p>
    <w:p w14:paraId="7B4CB1FE" w14:textId="77777777" w:rsidR="00CF4401" w:rsidRDefault="00CF4401" w:rsidP="00417432">
      <w:pPr>
        <w:rPr>
          <w:lang w:val="en-US"/>
        </w:rPr>
      </w:pPr>
    </w:p>
    <w:p w14:paraId="10D2C3B7" w14:textId="0D16AE0A" w:rsidR="00291BD4" w:rsidRDefault="00B7156D" w:rsidP="00417432">
      <w:pPr>
        <w:rPr>
          <w:color w:val="C0504D" w:themeColor="accent2"/>
          <w:lang w:val="en-US"/>
        </w:rPr>
      </w:pPr>
      <w:r>
        <w:rPr>
          <w:lang w:val="en-US"/>
        </w:rPr>
        <w:t xml:space="preserve">PIAC has </w:t>
      </w:r>
      <w:r w:rsidR="00996379">
        <w:rPr>
          <w:lang w:val="en-US"/>
        </w:rPr>
        <w:t xml:space="preserve">also </w:t>
      </w:r>
      <w:r w:rsidR="00404B89">
        <w:rPr>
          <w:lang w:val="en-US"/>
        </w:rPr>
        <w:t xml:space="preserve">supported </w:t>
      </w:r>
      <w:r>
        <w:rPr>
          <w:lang w:val="en-US"/>
        </w:rPr>
        <w:t>Dr Penny Cro</w:t>
      </w:r>
      <w:r w:rsidR="00243068">
        <w:rPr>
          <w:lang w:val="en-US"/>
        </w:rPr>
        <w:t>s</w:t>
      </w:r>
      <w:r>
        <w:rPr>
          <w:lang w:val="en-US"/>
        </w:rPr>
        <w:t>sley</w:t>
      </w:r>
      <w:r w:rsidR="00243068">
        <w:rPr>
          <w:lang w:val="en-US"/>
        </w:rPr>
        <w:t>’</w:t>
      </w:r>
      <w:r>
        <w:rPr>
          <w:lang w:val="en-US"/>
        </w:rPr>
        <w:t xml:space="preserve">s submission to the COAG </w:t>
      </w:r>
      <w:r w:rsidR="00404B89">
        <w:rPr>
          <w:lang w:val="en-US"/>
        </w:rPr>
        <w:t xml:space="preserve">Energy Council’s </w:t>
      </w:r>
      <w:r>
        <w:rPr>
          <w:lang w:val="en-US"/>
        </w:rPr>
        <w:t xml:space="preserve">Storage Registration </w:t>
      </w:r>
      <w:r w:rsidR="00243068">
        <w:rPr>
          <w:lang w:val="en-US"/>
        </w:rPr>
        <w:t>Consultation Paper</w:t>
      </w:r>
      <w:r>
        <w:rPr>
          <w:rStyle w:val="FootnoteReference"/>
          <w:lang w:val="en-US"/>
        </w:rPr>
        <w:footnoteReference w:id="9"/>
      </w:r>
      <w:r w:rsidR="00700811">
        <w:rPr>
          <w:lang w:val="en-US"/>
        </w:rPr>
        <w:t xml:space="preserve"> </w:t>
      </w:r>
      <w:r>
        <w:rPr>
          <w:lang w:val="en-US"/>
        </w:rPr>
        <w:t xml:space="preserve">and </w:t>
      </w:r>
      <w:r w:rsidR="00404B89">
        <w:rPr>
          <w:lang w:val="en-US"/>
        </w:rPr>
        <w:t xml:space="preserve">endorses </w:t>
      </w:r>
      <w:r>
        <w:rPr>
          <w:lang w:val="en-US"/>
        </w:rPr>
        <w:t xml:space="preserve">her call for </w:t>
      </w:r>
      <w:r w:rsidR="00404B89">
        <w:rPr>
          <w:lang w:val="en-US"/>
        </w:rPr>
        <w:t xml:space="preserve">a </w:t>
      </w:r>
      <w:r>
        <w:rPr>
          <w:lang w:val="en-US"/>
        </w:rPr>
        <w:t>national registration of storage devices.</w:t>
      </w:r>
      <w:r w:rsidR="00AD65CF">
        <w:rPr>
          <w:rStyle w:val="FootnoteReference"/>
          <w:lang w:val="en-US"/>
        </w:rPr>
        <w:footnoteReference w:id="10"/>
      </w:r>
      <w:r>
        <w:rPr>
          <w:lang w:val="en-US"/>
        </w:rPr>
        <w:t xml:space="preserve"> While a national registration scheme </w:t>
      </w:r>
      <w:r w:rsidR="00AE083C">
        <w:rPr>
          <w:lang w:val="en-US"/>
        </w:rPr>
        <w:t xml:space="preserve">for stand-alone systems </w:t>
      </w:r>
      <w:r>
        <w:rPr>
          <w:lang w:val="en-US"/>
        </w:rPr>
        <w:t>would capture any</w:t>
      </w:r>
      <w:r w:rsidR="009C1962">
        <w:rPr>
          <w:lang w:val="en-US"/>
        </w:rPr>
        <w:t xml:space="preserve"> storage device used in a stand-</w:t>
      </w:r>
      <w:r>
        <w:rPr>
          <w:lang w:val="en-US"/>
        </w:rPr>
        <w:t xml:space="preserve">alone system, PIAC </w:t>
      </w:r>
      <w:r w:rsidR="00996379">
        <w:rPr>
          <w:lang w:val="en-US"/>
        </w:rPr>
        <w:t xml:space="preserve">recommends </w:t>
      </w:r>
      <w:r w:rsidR="0056237E">
        <w:rPr>
          <w:lang w:val="en-US"/>
        </w:rPr>
        <w:t xml:space="preserve">any storage device be cross referenced with the storage </w:t>
      </w:r>
      <w:r w:rsidR="00433C4F">
        <w:rPr>
          <w:lang w:val="en-US"/>
        </w:rPr>
        <w:t>register</w:t>
      </w:r>
      <w:r w:rsidR="0056237E">
        <w:rPr>
          <w:lang w:val="en-US"/>
        </w:rPr>
        <w:t xml:space="preserve">. </w:t>
      </w:r>
    </w:p>
    <w:p w14:paraId="78DA3C3D" w14:textId="77777777" w:rsidR="00B7156D" w:rsidRDefault="00B7156D" w:rsidP="00417432">
      <w:pPr>
        <w:rPr>
          <w:lang w:val="en-US"/>
        </w:rPr>
      </w:pPr>
    </w:p>
    <w:p w14:paraId="24DA9ED1" w14:textId="152ACA3A" w:rsidR="00291BD4" w:rsidRDefault="00DB2B60" w:rsidP="00417432">
      <w:pPr>
        <w:rPr>
          <w:lang w:val="en-US"/>
        </w:rPr>
      </w:pPr>
      <w:r>
        <w:rPr>
          <w:lang w:val="en-US"/>
        </w:rPr>
        <w:t>Existing forms of regulation for exempt sellers and for authori</w:t>
      </w:r>
      <w:r w:rsidR="00AE083C">
        <w:rPr>
          <w:lang w:val="en-US"/>
        </w:rPr>
        <w:t>s</w:t>
      </w:r>
      <w:r>
        <w:rPr>
          <w:lang w:val="en-US"/>
        </w:rPr>
        <w:t>ed retaile</w:t>
      </w:r>
      <w:r w:rsidR="00FF0EE7">
        <w:rPr>
          <w:lang w:val="en-US"/>
        </w:rPr>
        <w:t xml:space="preserve">rs may be appropriate for </w:t>
      </w:r>
      <w:r w:rsidR="00996379">
        <w:rPr>
          <w:lang w:val="en-US"/>
        </w:rPr>
        <w:t xml:space="preserve">some </w:t>
      </w:r>
      <w:r w:rsidR="00FF0EE7">
        <w:rPr>
          <w:lang w:val="en-US"/>
        </w:rPr>
        <w:t>stand-</w:t>
      </w:r>
      <w:r>
        <w:rPr>
          <w:lang w:val="en-US"/>
        </w:rPr>
        <w:t xml:space="preserve">alone systems, </w:t>
      </w:r>
      <w:r w:rsidR="00996379">
        <w:rPr>
          <w:lang w:val="en-US"/>
        </w:rPr>
        <w:t>but</w:t>
      </w:r>
      <w:r w:rsidR="00AD0F9A">
        <w:rPr>
          <w:lang w:val="en-US"/>
        </w:rPr>
        <w:t xml:space="preserve"> </w:t>
      </w:r>
      <w:r w:rsidR="00996379">
        <w:rPr>
          <w:lang w:val="en-US"/>
        </w:rPr>
        <w:t xml:space="preserve">when </w:t>
      </w:r>
      <w:r>
        <w:rPr>
          <w:lang w:val="en-US"/>
        </w:rPr>
        <w:t>these systems provid</w:t>
      </w:r>
      <w:r w:rsidR="00404B89">
        <w:rPr>
          <w:lang w:val="en-US"/>
        </w:rPr>
        <w:t>e</w:t>
      </w:r>
      <w:r>
        <w:rPr>
          <w:lang w:val="en-US"/>
        </w:rPr>
        <w:t xml:space="preserve"> the </w:t>
      </w:r>
      <w:r w:rsidR="007E02F8">
        <w:rPr>
          <w:lang w:val="en-US"/>
        </w:rPr>
        <w:t xml:space="preserve">sole </w:t>
      </w:r>
      <w:r>
        <w:rPr>
          <w:lang w:val="en-US"/>
        </w:rPr>
        <w:t>energy supply</w:t>
      </w:r>
      <w:r w:rsidR="00404B89">
        <w:rPr>
          <w:lang w:val="en-US"/>
        </w:rPr>
        <w:t xml:space="preserve">, especially </w:t>
      </w:r>
      <w:r w:rsidR="00FF0EE7">
        <w:rPr>
          <w:lang w:val="en-US"/>
        </w:rPr>
        <w:t>in remote locations</w:t>
      </w:r>
      <w:r w:rsidR="009D4077">
        <w:rPr>
          <w:lang w:val="en-US"/>
        </w:rPr>
        <w:t>,</w:t>
      </w:r>
      <w:r>
        <w:rPr>
          <w:lang w:val="en-US"/>
        </w:rPr>
        <w:t xml:space="preserve"> stricter conditions and regulations </w:t>
      </w:r>
      <w:r w:rsidR="00996379">
        <w:rPr>
          <w:lang w:val="en-US"/>
        </w:rPr>
        <w:t>are</w:t>
      </w:r>
      <w:r>
        <w:rPr>
          <w:lang w:val="en-US"/>
        </w:rPr>
        <w:t xml:space="preserve"> required</w:t>
      </w:r>
      <w:r w:rsidR="00636213">
        <w:rPr>
          <w:lang w:val="en-US"/>
        </w:rPr>
        <w:t xml:space="preserve"> to protect </w:t>
      </w:r>
      <w:r w:rsidR="00404B89">
        <w:rPr>
          <w:lang w:val="en-US"/>
        </w:rPr>
        <w:t xml:space="preserve">their </w:t>
      </w:r>
      <w:r w:rsidR="002739AF">
        <w:rPr>
          <w:lang w:val="en-US"/>
        </w:rPr>
        <w:t>customers</w:t>
      </w:r>
      <w:r>
        <w:rPr>
          <w:lang w:val="en-US"/>
        </w:rPr>
        <w:t xml:space="preserve">. </w:t>
      </w:r>
      <w:r w:rsidR="00996379">
        <w:rPr>
          <w:lang w:val="en-US"/>
        </w:rPr>
        <w:t>PIAC recommends t</w:t>
      </w:r>
      <w:r w:rsidR="00D52DD6">
        <w:rPr>
          <w:lang w:val="en-US"/>
        </w:rPr>
        <w:t>he AER be provided with the resources</w:t>
      </w:r>
      <w:r w:rsidR="006E1758">
        <w:rPr>
          <w:lang w:val="en-US"/>
        </w:rPr>
        <w:t xml:space="preserve"> to be able to </w:t>
      </w:r>
      <w:r w:rsidR="004C4384">
        <w:rPr>
          <w:lang w:val="en-US"/>
        </w:rPr>
        <w:t>assess</w:t>
      </w:r>
      <w:r w:rsidR="006E1758">
        <w:rPr>
          <w:lang w:val="en-US"/>
        </w:rPr>
        <w:t xml:space="preserve"> each stand-</w:t>
      </w:r>
      <w:r w:rsidR="00D52DD6">
        <w:rPr>
          <w:lang w:val="en-US"/>
        </w:rPr>
        <w:t>alone system against a set of criteria to tailor regulation to each case. This will ensure that there is consistency against a set of principles and guidelines</w:t>
      </w:r>
      <w:r w:rsidR="00AE083C">
        <w:rPr>
          <w:lang w:val="en-US"/>
        </w:rPr>
        <w:t xml:space="preserve">, with </w:t>
      </w:r>
      <w:r w:rsidR="0045060C">
        <w:rPr>
          <w:lang w:val="en-US"/>
        </w:rPr>
        <w:t xml:space="preserve">flexibility where </w:t>
      </w:r>
      <w:r w:rsidR="00AE083C">
        <w:rPr>
          <w:lang w:val="en-US"/>
        </w:rPr>
        <w:t>justified</w:t>
      </w:r>
      <w:r w:rsidR="0045060C">
        <w:rPr>
          <w:lang w:val="en-US"/>
        </w:rPr>
        <w:t xml:space="preserve">. </w:t>
      </w:r>
    </w:p>
    <w:p w14:paraId="33F27114" w14:textId="77777777" w:rsidR="0045060C" w:rsidRDefault="0045060C" w:rsidP="00417432">
      <w:pPr>
        <w:rPr>
          <w:lang w:val="en-US"/>
        </w:rPr>
      </w:pPr>
    </w:p>
    <w:p w14:paraId="2544B708" w14:textId="4D68653C" w:rsidR="00E946B5" w:rsidRDefault="00583AF4" w:rsidP="00417432">
      <w:pPr>
        <w:rPr>
          <w:lang w:val="en-US"/>
        </w:rPr>
      </w:pPr>
      <w:r>
        <w:rPr>
          <w:lang w:val="en-US"/>
        </w:rPr>
        <w:t>Authorised</w:t>
      </w:r>
      <w:r w:rsidR="00E946B5">
        <w:rPr>
          <w:lang w:val="en-US"/>
        </w:rPr>
        <w:t xml:space="preserve"> retailers</w:t>
      </w:r>
      <w:r w:rsidR="00996379">
        <w:rPr>
          <w:lang w:val="en-US"/>
        </w:rPr>
        <w:t>,</w:t>
      </w:r>
      <w:r w:rsidR="00E946B5">
        <w:rPr>
          <w:lang w:val="en-US"/>
        </w:rPr>
        <w:t xml:space="preserve"> </w:t>
      </w:r>
      <w:r>
        <w:rPr>
          <w:lang w:val="en-US"/>
        </w:rPr>
        <w:t>at the time of their application</w:t>
      </w:r>
      <w:r w:rsidR="00996379">
        <w:rPr>
          <w:lang w:val="en-US"/>
        </w:rPr>
        <w:t>,</w:t>
      </w:r>
      <w:r>
        <w:rPr>
          <w:lang w:val="en-US"/>
        </w:rPr>
        <w:t xml:space="preserve"> have to demonstrate how they will meet their customer obligations and abide by </w:t>
      </w:r>
      <w:r w:rsidR="006E735B">
        <w:rPr>
          <w:lang w:val="en-US"/>
        </w:rPr>
        <w:t xml:space="preserve">the National Energy Retail Law and </w:t>
      </w:r>
      <w:r w:rsidR="00996379">
        <w:rPr>
          <w:lang w:val="en-US"/>
        </w:rPr>
        <w:t xml:space="preserve">PIAC recommends this requirement be extended to </w:t>
      </w:r>
      <w:r w:rsidR="006E735B">
        <w:rPr>
          <w:lang w:val="en-US"/>
        </w:rPr>
        <w:t xml:space="preserve">those providing power through a stand-alone system. </w:t>
      </w:r>
    </w:p>
    <w:p w14:paraId="4DE5BCBF" w14:textId="6BCD6F09" w:rsidR="00906EF7" w:rsidRDefault="00EC6D75" w:rsidP="00EC6D75">
      <w:pPr>
        <w:pStyle w:val="Recommendation"/>
        <w:rPr>
          <w:lang w:val="en-US"/>
        </w:rPr>
      </w:pPr>
      <w:r>
        <w:rPr>
          <w:lang w:val="en-US"/>
        </w:rPr>
        <w:t>Recommendation 1</w:t>
      </w:r>
    </w:p>
    <w:p w14:paraId="7335A37A" w14:textId="3A1F6344" w:rsidR="00EC6D75" w:rsidRPr="00EC6D75" w:rsidRDefault="00EC6D75" w:rsidP="00EC6D75">
      <w:pPr>
        <w:pStyle w:val="Recommendationtext"/>
      </w:pPr>
      <w:r>
        <w:t>PIAC recommends that stand-alone systems be regulated under a national framework that is based on</w:t>
      </w:r>
      <w:r w:rsidR="00A72CBC">
        <w:t xml:space="preserve"> the</w:t>
      </w:r>
      <w:r>
        <w:t xml:space="preserve"> level of risk to consumers for whom stand-alone systems are sole supplier of energy.</w:t>
      </w:r>
    </w:p>
    <w:p w14:paraId="23E3D178" w14:textId="593F911F" w:rsidR="007D4E54" w:rsidRDefault="007D4E54" w:rsidP="007D4E54">
      <w:pPr>
        <w:pStyle w:val="Recommendation"/>
        <w:rPr>
          <w:lang w:val="en-US"/>
        </w:rPr>
      </w:pPr>
      <w:r>
        <w:rPr>
          <w:lang w:val="en-US"/>
        </w:rPr>
        <w:t xml:space="preserve">Recommendation </w:t>
      </w:r>
      <w:r w:rsidR="00EC6D75">
        <w:rPr>
          <w:lang w:val="en-US"/>
        </w:rPr>
        <w:t>2</w:t>
      </w:r>
    </w:p>
    <w:p w14:paraId="29BC26BB" w14:textId="37DA7343" w:rsidR="007D4E54" w:rsidRPr="007D4E54" w:rsidRDefault="007D4E54" w:rsidP="007D4E54">
      <w:pPr>
        <w:pStyle w:val="Recommendationtext"/>
      </w:pPr>
      <w:r>
        <w:t xml:space="preserve">PIAC recommends that stand-alone systems </w:t>
      </w:r>
      <w:r w:rsidR="00996379">
        <w:t xml:space="preserve">be </w:t>
      </w:r>
      <w:r>
        <w:t xml:space="preserve">registered and </w:t>
      </w:r>
      <w:r w:rsidR="00996379">
        <w:t xml:space="preserve">that </w:t>
      </w:r>
      <w:r>
        <w:t xml:space="preserve">operators </w:t>
      </w:r>
      <w:r w:rsidR="00404B89">
        <w:t xml:space="preserve">be </w:t>
      </w:r>
      <w:r>
        <w:t>required to have a license to sell electricity</w:t>
      </w:r>
      <w:r w:rsidR="00404B89">
        <w:t>.</w:t>
      </w:r>
      <w:r>
        <w:t xml:space="preserve"> </w:t>
      </w:r>
    </w:p>
    <w:p w14:paraId="74EC1826" w14:textId="3A188360" w:rsidR="00103FD8" w:rsidRDefault="00103FD8" w:rsidP="00B27231">
      <w:pPr>
        <w:pStyle w:val="Heading2"/>
        <w:rPr>
          <w:lang w:val="en-US"/>
        </w:rPr>
      </w:pPr>
      <w:r>
        <w:rPr>
          <w:lang w:val="en-US"/>
        </w:rPr>
        <w:t>Reliability and service standards</w:t>
      </w:r>
    </w:p>
    <w:p w14:paraId="43ED715F" w14:textId="4B2C2EA2" w:rsidR="00B220F6" w:rsidRDefault="00AB1CC1" w:rsidP="00103FD8">
      <w:r>
        <w:t xml:space="preserve">PIAC is of the view that </w:t>
      </w:r>
      <w:r w:rsidR="004C4384">
        <w:t xml:space="preserve">where </w:t>
      </w:r>
      <w:r w:rsidR="00566963">
        <w:t xml:space="preserve">a </w:t>
      </w:r>
      <w:r w:rsidR="00221F48">
        <w:t xml:space="preserve">stand-alone </w:t>
      </w:r>
      <w:proofErr w:type="gramStart"/>
      <w:r>
        <w:t>systems</w:t>
      </w:r>
      <w:proofErr w:type="gramEnd"/>
      <w:r>
        <w:t xml:space="preserve"> </w:t>
      </w:r>
      <w:r w:rsidR="00566963">
        <w:t xml:space="preserve">is </w:t>
      </w:r>
      <w:r>
        <w:t xml:space="preserve">providing the </w:t>
      </w:r>
      <w:r w:rsidR="004C4384">
        <w:t xml:space="preserve">sole </w:t>
      </w:r>
      <w:r>
        <w:t>power supply for residents</w:t>
      </w:r>
      <w:r w:rsidR="00221F48">
        <w:t>,</w:t>
      </w:r>
      <w:r>
        <w:t xml:space="preserve"> the level of reliability and service standards should be assess</w:t>
      </w:r>
      <w:r w:rsidR="004C4384">
        <w:t>ed</w:t>
      </w:r>
      <w:r>
        <w:t xml:space="preserve"> </w:t>
      </w:r>
      <w:r w:rsidR="004C4384">
        <w:t xml:space="preserve">at </w:t>
      </w:r>
      <w:r w:rsidR="00235B6E">
        <w:t>a comparable level as</w:t>
      </w:r>
      <w:r w:rsidR="004C4384">
        <w:t xml:space="preserve"> </w:t>
      </w:r>
      <w:r w:rsidR="00083117">
        <w:t>a</w:t>
      </w:r>
      <w:r w:rsidR="004C4384">
        <w:t xml:space="preserve"> </w:t>
      </w:r>
      <w:r w:rsidR="00C95AD1">
        <w:t xml:space="preserve">traditional </w:t>
      </w:r>
      <w:r>
        <w:t>utility suppl</w:t>
      </w:r>
      <w:r w:rsidR="004C4384">
        <w:t>ying</w:t>
      </w:r>
      <w:r>
        <w:t xml:space="preserve"> </w:t>
      </w:r>
      <w:r w:rsidR="004C4384">
        <w:t>energy</w:t>
      </w:r>
      <w:r>
        <w:t xml:space="preserve">. This is particularly the case when a community is taken off grid by the network </w:t>
      </w:r>
      <w:r w:rsidR="00566963">
        <w:t>because it</w:t>
      </w:r>
      <w:r>
        <w:t xml:space="preserve"> is the least cost solution. These communities are not making a choice to go ‘off grid’ and as such should</w:t>
      </w:r>
      <w:r w:rsidR="00221F48">
        <w:t xml:space="preserve"> not</w:t>
      </w:r>
      <w:r>
        <w:t xml:space="preserve"> be </w:t>
      </w:r>
      <w:r w:rsidR="00221F48">
        <w:t xml:space="preserve">forced </w:t>
      </w:r>
      <w:r>
        <w:t xml:space="preserve">to make choices about what level of reliability they will accept. </w:t>
      </w:r>
    </w:p>
    <w:p w14:paraId="68219B9C" w14:textId="77777777" w:rsidR="00B220F6" w:rsidRDefault="00B220F6" w:rsidP="00103FD8"/>
    <w:p w14:paraId="355507EB" w14:textId="39356220" w:rsidR="00B220F6" w:rsidRDefault="00B220F6" w:rsidP="00103FD8">
      <w:r>
        <w:t>Where</w:t>
      </w:r>
      <w:r w:rsidR="00AB1CC1">
        <w:t xml:space="preserve"> customers and communities m</w:t>
      </w:r>
      <w:r w:rsidR="00320C86">
        <w:t>ake the choice to adopt a stand-</w:t>
      </w:r>
      <w:r w:rsidR="00AB1CC1">
        <w:t xml:space="preserve">alone </w:t>
      </w:r>
      <w:r w:rsidR="002739AF">
        <w:t>system,</w:t>
      </w:r>
      <w:r w:rsidR="00AB1CC1">
        <w:t xml:space="preserve"> either through a third party or a municipal/co-op</w:t>
      </w:r>
      <w:r w:rsidR="00023A40">
        <w:t>erative</w:t>
      </w:r>
      <w:r w:rsidR="00AB1CC1">
        <w:t xml:space="preserve"> ownership model, it is </w:t>
      </w:r>
      <w:r w:rsidR="00DA5359">
        <w:t xml:space="preserve">difficult to for </w:t>
      </w:r>
      <w:r w:rsidR="00023A40">
        <w:t>consumers</w:t>
      </w:r>
      <w:r w:rsidR="00DA5359">
        <w:t xml:space="preserve"> to determine </w:t>
      </w:r>
      <w:r>
        <w:t xml:space="preserve">the </w:t>
      </w:r>
      <w:r w:rsidR="00DA5359">
        <w:t>level of reliability and service they are prepared to accept</w:t>
      </w:r>
      <w:r w:rsidR="00221F48">
        <w:t xml:space="preserve"> </w:t>
      </w:r>
      <w:r w:rsidR="00023A40">
        <w:t xml:space="preserve">unless they receive </w:t>
      </w:r>
      <w:r w:rsidR="00083117">
        <w:t>sufficient</w:t>
      </w:r>
      <w:r w:rsidR="00221F48">
        <w:t xml:space="preserve"> information</w:t>
      </w:r>
      <w:r w:rsidR="00DA5359">
        <w:t>.</w:t>
      </w:r>
      <w:r w:rsidR="00235B6E">
        <w:t xml:space="preserve"> Where customers are not supplied at a comparable </w:t>
      </w:r>
      <w:r w:rsidR="00033225">
        <w:t xml:space="preserve">reliability </w:t>
      </w:r>
      <w:r w:rsidR="00235B6E">
        <w:t xml:space="preserve">level </w:t>
      </w:r>
      <w:r>
        <w:t xml:space="preserve">to </w:t>
      </w:r>
      <w:r w:rsidR="00235B6E">
        <w:t xml:space="preserve">the </w:t>
      </w:r>
      <w:proofErr w:type="gramStart"/>
      <w:r w:rsidR="00235B6E">
        <w:t>network</w:t>
      </w:r>
      <w:r>
        <w:t xml:space="preserve">, </w:t>
      </w:r>
      <w:r w:rsidR="00033225">
        <w:t>that</w:t>
      </w:r>
      <w:proofErr w:type="gramEnd"/>
      <w:r w:rsidR="00033225">
        <w:t xml:space="preserve"> needs to be made clear in line with the standard of explicit informed consent.</w:t>
      </w:r>
      <w:r w:rsidR="00235B6E">
        <w:t xml:space="preserve"> </w:t>
      </w:r>
      <w:r w:rsidR="00137925">
        <w:t xml:space="preserve">PIAC appreciates that providing a level of reliability </w:t>
      </w:r>
      <w:r w:rsidR="004207B7">
        <w:t>at or near to grid level comes with costs to both grid</w:t>
      </w:r>
      <w:r w:rsidR="00510516">
        <w:t>-</w:t>
      </w:r>
      <w:r w:rsidR="004207B7">
        <w:t>connect</w:t>
      </w:r>
      <w:r w:rsidR="00510516">
        <w:t>ed</w:t>
      </w:r>
      <w:r w:rsidR="004207B7">
        <w:t xml:space="preserve"> and stand-alone system customers.</w:t>
      </w:r>
      <w:r w:rsidR="00CF54FA">
        <w:rPr>
          <w:rStyle w:val="FootnoteReference"/>
        </w:rPr>
        <w:footnoteReference w:id="11"/>
      </w:r>
      <w:r w:rsidR="004207B7">
        <w:t xml:space="preserve"> However, PIAC </w:t>
      </w:r>
      <w:r>
        <w:t>considers</w:t>
      </w:r>
      <w:r w:rsidR="004207B7">
        <w:t xml:space="preserve"> that these costs need to be assessed </w:t>
      </w:r>
      <w:r>
        <w:t>on the basis</w:t>
      </w:r>
      <w:r w:rsidR="004207B7">
        <w:t xml:space="preserve"> that this is the sole supply</w:t>
      </w:r>
      <w:r w:rsidR="00D57763">
        <w:t xml:space="preserve"> of an essential service</w:t>
      </w:r>
      <w:r w:rsidR="004207B7">
        <w:t xml:space="preserve"> for these customers. </w:t>
      </w:r>
    </w:p>
    <w:p w14:paraId="7910828D" w14:textId="77777777" w:rsidR="00B220F6" w:rsidRDefault="00B220F6" w:rsidP="00103FD8"/>
    <w:p w14:paraId="2C1D9ED1" w14:textId="648F3B6C" w:rsidR="00D37CBA" w:rsidRDefault="004207B7" w:rsidP="00103FD8">
      <w:r>
        <w:t>At this stage of the consultation process</w:t>
      </w:r>
      <w:r w:rsidR="00023A40">
        <w:t>,</w:t>
      </w:r>
      <w:r>
        <w:t xml:space="preserve"> it is difficult to accurately comment on how to make trade</w:t>
      </w:r>
      <w:r w:rsidR="00023A40">
        <w:t>-</w:t>
      </w:r>
      <w:r>
        <w:t>offs with respect to price and reliability</w:t>
      </w:r>
      <w:r w:rsidR="00023A40">
        <w:t>,</w:t>
      </w:r>
      <w:r>
        <w:t xml:space="preserve"> as there may be cases where a stand-alone system </w:t>
      </w:r>
      <w:r w:rsidR="00023A40">
        <w:t xml:space="preserve">offers </w:t>
      </w:r>
      <w:r>
        <w:t xml:space="preserve">greater reliability for customers, such as those on the edge of the </w:t>
      </w:r>
      <w:r w:rsidR="00023A40">
        <w:t xml:space="preserve">grid </w:t>
      </w:r>
      <w:r>
        <w:t xml:space="preserve">who </w:t>
      </w:r>
      <w:r w:rsidR="002734A3">
        <w:t xml:space="preserve">currently </w:t>
      </w:r>
      <w:r w:rsidR="00A103C0">
        <w:t xml:space="preserve">have </w:t>
      </w:r>
      <w:r>
        <w:t>lower</w:t>
      </w:r>
      <w:r w:rsidR="00B220F6">
        <w:t xml:space="preserve"> reliability</w:t>
      </w:r>
      <w:r>
        <w:t xml:space="preserve"> levels. There may also be situations where it could be argued the network has too much redundancy and reliability and accepting </w:t>
      </w:r>
      <w:r w:rsidR="00023A40">
        <w:t xml:space="preserve">a somewhat </w:t>
      </w:r>
      <w:r>
        <w:t xml:space="preserve">lower level may </w:t>
      </w:r>
      <w:r w:rsidR="00B220F6">
        <w:t>be low risk</w:t>
      </w:r>
      <w:r>
        <w:t xml:space="preserve"> for customers. It is difficult to assess this without </w:t>
      </w:r>
      <w:r w:rsidR="00023A40">
        <w:t xml:space="preserve">specific </w:t>
      </w:r>
      <w:r>
        <w:t xml:space="preserve">examples of stand-alone systems and their costs. </w:t>
      </w:r>
      <w:r w:rsidR="0018415B">
        <w:t xml:space="preserve">The guiding principle should be that, if customers are to </w:t>
      </w:r>
      <w:r w:rsidR="00B220F6">
        <w:t>make a choice</w:t>
      </w:r>
      <w:r w:rsidR="0018415B">
        <w:t xml:space="preserve">, then they should do so on the basis of clear, accessible information that enables </w:t>
      </w:r>
      <w:r w:rsidR="0002490D">
        <w:t>explicit</w:t>
      </w:r>
      <w:r w:rsidR="0018415B">
        <w:t xml:space="preserve"> informed consent.</w:t>
      </w:r>
    </w:p>
    <w:p w14:paraId="07629092" w14:textId="77777777" w:rsidR="00D37CBA" w:rsidRDefault="00D37CBA" w:rsidP="00103FD8"/>
    <w:p w14:paraId="20676849" w14:textId="587A6DF6" w:rsidR="00103FD8" w:rsidRDefault="006461FE" w:rsidP="00103FD8">
      <w:r>
        <w:t>Should c</w:t>
      </w:r>
      <w:r w:rsidR="00103FD8">
        <w:t xml:space="preserve">ustomers of stand-alone systems </w:t>
      </w:r>
      <w:r w:rsidR="00023A40">
        <w:t xml:space="preserve">be required to </w:t>
      </w:r>
      <w:r w:rsidR="00103FD8">
        <w:t xml:space="preserve">accept a lower level </w:t>
      </w:r>
      <w:r w:rsidR="004F68F2">
        <w:t xml:space="preserve">of </w:t>
      </w:r>
      <w:r w:rsidR="00103FD8">
        <w:t>reliability</w:t>
      </w:r>
      <w:r w:rsidR="00DA5359">
        <w:t>,</w:t>
      </w:r>
      <w:r w:rsidR="00103FD8">
        <w:t xml:space="preserve"> rigorous explicit and informed consent must be obtained. </w:t>
      </w:r>
      <w:r w:rsidR="00221F48">
        <w:t>They need to be given the</w:t>
      </w:r>
      <w:r w:rsidR="00DA5359">
        <w:t xml:space="preserve"> tools and information t</w:t>
      </w:r>
      <w:r w:rsidR="004F68F2">
        <w:t>hey require to</w:t>
      </w:r>
      <w:r w:rsidR="007D4E54">
        <w:t xml:space="preserve"> </w:t>
      </w:r>
      <w:r w:rsidR="00FB3A76">
        <w:t>make that choice</w:t>
      </w:r>
      <w:r w:rsidR="00DA5359">
        <w:t xml:space="preserve">. </w:t>
      </w:r>
      <w:r w:rsidR="00023A40">
        <w:t>PIAC has discussed</w:t>
      </w:r>
      <w:r w:rsidR="003A09FC">
        <w:t xml:space="preserve"> explicit informed consent </w:t>
      </w:r>
      <w:r w:rsidR="00023A40">
        <w:t xml:space="preserve">in greater detail </w:t>
      </w:r>
      <w:r w:rsidR="003A09FC">
        <w:t xml:space="preserve">in </w:t>
      </w:r>
      <w:r w:rsidR="00023A40">
        <w:t xml:space="preserve">its submission to the Energy Council’s paper on </w:t>
      </w:r>
      <w:r w:rsidR="00023A40">
        <w:rPr>
          <w:lang w:val="en-US"/>
        </w:rPr>
        <w:t xml:space="preserve">Consumer Protections </w:t>
      </w:r>
      <w:r w:rsidR="00023A40" w:rsidRPr="00BB4597">
        <w:rPr>
          <w:lang w:val="en-AU"/>
        </w:rPr>
        <w:t>for Behind the Meter</w:t>
      </w:r>
      <w:r w:rsidR="00023A40">
        <w:rPr>
          <w:lang w:val="en-AU"/>
        </w:rPr>
        <w:t xml:space="preserve"> </w:t>
      </w:r>
      <w:r w:rsidR="00BF673B">
        <w:rPr>
          <w:lang w:val="en-AU"/>
        </w:rPr>
        <w:t>E</w:t>
      </w:r>
      <w:r w:rsidR="00023A40">
        <w:rPr>
          <w:lang w:val="en-AU"/>
        </w:rPr>
        <w:t xml:space="preserve">lectricity </w:t>
      </w:r>
      <w:r w:rsidR="00BF673B">
        <w:rPr>
          <w:lang w:val="en-AU"/>
        </w:rPr>
        <w:t>S</w:t>
      </w:r>
      <w:r w:rsidR="00023A40">
        <w:rPr>
          <w:lang w:val="en-AU"/>
        </w:rPr>
        <w:t>upply</w:t>
      </w:r>
      <w:r w:rsidR="003A09FC">
        <w:t>.</w:t>
      </w:r>
      <w:bookmarkStart w:id="7" w:name="_Ref336848268"/>
      <w:r w:rsidR="007211D9">
        <w:rPr>
          <w:rStyle w:val="FootnoteReference"/>
        </w:rPr>
        <w:footnoteReference w:id="12"/>
      </w:r>
      <w:bookmarkEnd w:id="7"/>
      <w:r w:rsidR="003A09FC">
        <w:t xml:space="preserve"> </w:t>
      </w:r>
    </w:p>
    <w:p w14:paraId="21F10E2F" w14:textId="77777777" w:rsidR="00E709DB" w:rsidRDefault="00E709DB" w:rsidP="00103FD8"/>
    <w:p w14:paraId="0291798F" w14:textId="503C13C0" w:rsidR="00E709DB" w:rsidRDefault="00023A40" w:rsidP="00E709DB">
      <w:pPr>
        <w:rPr>
          <w:lang w:val="en-US"/>
        </w:rPr>
      </w:pPr>
      <w:r>
        <w:rPr>
          <w:lang w:val="en-US"/>
        </w:rPr>
        <w:t>PIAC recommends that</w:t>
      </w:r>
      <w:r w:rsidR="00E709DB">
        <w:rPr>
          <w:lang w:val="en-US"/>
        </w:rPr>
        <w:t xml:space="preserve"> </w:t>
      </w:r>
      <w:r>
        <w:rPr>
          <w:lang w:val="en-US"/>
        </w:rPr>
        <w:t>the Energy Council</w:t>
      </w:r>
      <w:r w:rsidR="00E709DB">
        <w:rPr>
          <w:lang w:val="en-US"/>
        </w:rPr>
        <w:t xml:space="preserve"> </w:t>
      </w:r>
      <w:r>
        <w:rPr>
          <w:lang w:val="en-US"/>
        </w:rPr>
        <w:t>ask</w:t>
      </w:r>
      <w:r w:rsidR="00E709DB">
        <w:rPr>
          <w:lang w:val="en-US"/>
        </w:rPr>
        <w:t xml:space="preserve"> the AER </w:t>
      </w:r>
      <w:r>
        <w:rPr>
          <w:lang w:val="en-US"/>
        </w:rPr>
        <w:t xml:space="preserve">to </w:t>
      </w:r>
      <w:r w:rsidR="00E709DB">
        <w:rPr>
          <w:lang w:val="en-US"/>
        </w:rPr>
        <w:t xml:space="preserve">develop a national licensing and exemption framework </w:t>
      </w:r>
      <w:r w:rsidR="00A91A60">
        <w:rPr>
          <w:lang w:val="en-US"/>
        </w:rPr>
        <w:t xml:space="preserve">for </w:t>
      </w:r>
      <w:r w:rsidR="00E709DB">
        <w:rPr>
          <w:lang w:val="en-US"/>
        </w:rPr>
        <w:t>stand-alone systems</w:t>
      </w:r>
      <w:r w:rsidR="00A91A60">
        <w:rPr>
          <w:lang w:val="en-US"/>
        </w:rPr>
        <w:t xml:space="preserve">, </w:t>
      </w:r>
      <w:r w:rsidR="001B414B">
        <w:rPr>
          <w:lang w:val="en-US"/>
        </w:rPr>
        <w:t xml:space="preserve">as </w:t>
      </w:r>
      <w:r w:rsidR="00A91A60">
        <w:rPr>
          <w:lang w:val="en-US"/>
        </w:rPr>
        <w:t>national consistency provides certainty to both operators and customers</w:t>
      </w:r>
      <w:r w:rsidR="00E709DB">
        <w:rPr>
          <w:lang w:val="en-US"/>
        </w:rPr>
        <w:t xml:space="preserve">. </w:t>
      </w:r>
    </w:p>
    <w:p w14:paraId="4EBA0452" w14:textId="77777777" w:rsidR="00D21535" w:rsidRDefault="00D21535" w:rsidP="00103FD8"/>
    <w:p w14:paraId="21B0B78A" w14:textId="3943A8C8" w:rsidR="00A116DC" w:rsidRDefault="00420783" w:rsidP="00103FD8">
      <w:r>
        <w:t>Finally, a</w:t>
      </w:r>
      <w:r w:rsidR="005723D7">
        <w:t xml:space="preserve">nother issue that needs to be considered </w:t>
      </w:r>
      <w:r w:rsidR="00684355">
        <w:t xml:space="preserve">in </w:t>
      </w:r>
      <w:r w:rsidR="005723D7">
        <w:t xml:space="preserve">reliability and service standards, as well as for pricing and regulation, is the potential for growth in demand within </w:t>
      </w:r>
      <w:r w:rsidR="00684355">
        <w:t xml:space="preserve">a stand-alone </w:t>
      </w:r>
      <w:r w:rsidR="005723D7">
        <w:t xml:space="preserve">scheme and how that will affect performance of the scheme. </w:t>
      </w:r>
      <w:r w:rsidR="00684355">
        <w:t xml:space="preserve">The Energy Council </w:t>
      </w:r>
      <w:r w:rsidR="005723D7">
        <w:t>should consider growth sce</w:t>
      </w:r>
      <w:r w:rsidR="00A274FC">
        <w:t>narios in the next issues paper</w:t>
      </w:r>
      <w:r w:rsidR="00684355">
        <w:t>,</w:t>
      </w:r>
      <w:r w:rsidR="00A274FC">
        <w:t xml:space="preserve"> as they affect decisions around augmentation, maintenance and operation and thus </w:t>
      </w:r>
      <w:r w:rsidR="00684355">
        <w:t xml:space="preserve">the </w:t>
      </w:r>
      <w:r w:rsidR="00A274FC">
        <w:t xml:space="preserve">pricing of these schemes. </w:t>
      </w:r>
    </w:p>
    <w:p w14:paraId="019CF8AB" w14:textId="42181D7C" w:rsidR="00FB3A76" w:rsidRDefault="00FB3A76" w:rsidP="00FB3A76">
      <w:pPr>
        <w:pStyle w:val="Recommendation"/>
      </w:pPr>
      <w:r>
        <w:t xml:space="preserve">Recommendation </w:t>
      </w:r>
      <w:r w:rsidR="00EC6D75">
        <w:t>3</w:t>
      </w:r>
    </w:p>
    <w:p w14:paraId="54DB9F72" w14:textId="7317EA39" w:rsidR="00747DFE" w:rsidRDefault="00FB3A76" w:rsidP="00FB3A76">
      <w:pPr>
        <w:pStyle w:val="Recommendationtext"/>
      </w:pPr>
      <w:r>
        <w:t xml:space="preserve">Recommendation </w:t>
      </w:r>
      <w:r w:rsidR="002810A9">
        <w:t xml:space="preserve">recommends that </w:t>
      </w:r>
      <w:r w:rsidR="00EC6D75">
        <w:t xml:space="preserve">the Energy Council </w:t>
      </w:r>
      <w:r w:rsidR="002810A9">
        <w:t xml:space="preserve">work with AER to develop a national licensing and exemption framework for stand-alone services. </w:t>
      </w:r>
    </w:p>
    <w:p w14:paraId="0880B88D" w14:textId="11CA1EC6" w:rsidR="00747DFE" w:rsidRDefault="00747DFE" w:rsidP="00747DFE">
      <w:pPr>
        <w:pStyle w:val="Recommendation"/>
      </w:pPr>
      <w:r>
        <w:t xml:space="preserve">Recommendation </w:t>
      </w:r>
      <w:r w:rsidR="00EC6D75">
        <w:t>4</w:t>
      </w:r>
    </w:p>
    <w:p w14:paraId="5BCD4D91" w14:textId="7825A944" w:rsidR="00747DFE" w:rsidRPr="00FB3A76" w:rsidRDefault="00747DFE" w:rsidP="00FB3A76">
      <w:pPr>
        <w:pStyle w:val="Recommendationtext"/>
      </w:pPr>
      <w:r>
        <w:t xml:space="preserve">PIAC recommends that COAG consider the impact of growth in demand </w:t>
      </w:r>
      <w:r w:rsidR="00002702">
        <w:t xml:space="preserve">within communities served by stand-alone systems to ensure that </w:t>
      </w:r>
      <w:r w:rsidR="00EA2F92">
        <w:t>the pricing and regulatory regime is able to adapt to increased demand.</w:t>
      </w:r>
      <w:r w:rsidR="00002702">
        <w:t xml:space="preserve"> </w:t>
      </w:r>
    </w:p>
    <w:p w14:paraId="110DB703" w14:textId="565611C0" w:rsidR="00B228DE" w:rsidRDefault="00811A0D" w:rsidP="00C81645">
      <w:pPr>
        <w:pStyle w:val="Heading2"/>
      </w:pPr>
      <w:r>
        <w:t xml:space="preserve">Regulator challenges interacting </w:t>
      </w:r>
      <w:r w:rsidR="00B94D04">
        <w:t>with</w:t>
      </w:r>
      <w:r>
        <w:t xml:space="preserve"> the</w:t>
      </w:r>
      <w:r w:rsidR="00580A3A">
        <w:t xml:space="preserve"> existing network</w:t>
      </w:r>
    </w:p>
    <w:p w14:paraId="12E8BB9C" w14:textId="5507EA47" w:rsidR="00580A3A" w:rsidRDefault="00580A3A" w:rsidP="00580A3A">
      <w:r>
        <w:t xml:space="preserve">The AER is in the early stages of developing </w:t>
      </w:r>
      <w:r w:rsidR="00FC3E54">
        <w:t>a guideline</w:t>
      </w:r>
      <w:r>
        <w:t xml:space="preserve"> and framework for implementing the recent rule change to strengthen the Demand Management Incentive Scheme (DMIS) and Demand Management Incentive </w:t>
      </w:r>
      <w:r w:rsidR="00E73FB4">
        <w:t>Allowance</w:t>
      </w:r>
      <w:r>
        <w:t xml:space="preserve"> (DMIA). </w:t>
      </w:r>
      <w:r w:rsidR="00FC3E54">
        <w:t>T</w:t>
      </w:r>
      <w:r w:rsidR="00107A61">
        <w:t xml:space="preserve">here </w:t>
      </w:r>
      <w:r w:rsidR="00183A7A">
        <w:t>a number of overlapping issues</w:t>
      </w:r>
      <w:r w:rsidR="00107A61">
        <w:t xml:space="preserve"> between demand mana</w:t>
      </w:r>
      <w:r w:rsidR="00F84D4A">
        <w:t xml:space="preserve">gement and stand-alone systems. </w:t>
      </w:r>
      <w:r w:rsidR="00360201">
        <w:t xml:space="preserve">In the case of distribution owned and led stand-alone projects, it is likely that incentives will be required </w:t>
      </w:r>
      <w:r w:rsidR="006776FC">
        <w:t>along with</w:t>
      </w:r>
      <w:r w:rsidR="00360201">
        <w:t xml:space="preserve"> changes to existing connection and planning frameworks. </w:t>
      </w:r>
      <w:r w:rsidR="00D1727A">
        <w:t xml:space="preserve">It is important to ensure that any incentive framework developed for stand-alone systems does not allow networks to collect benefits from multiple incentive programs and that customers receive a share in benefits in a clear and defined manner.  </w:t>
      </w:r>
    </w:p>
    <w:p w14:paraId="0B588CE9" w14:textId="77777777" w:rsidR="00657A4F" w:rsidRDefault="00657A4F" w:rsidP="00580A3A"/>
    <w:p w14:paraId="40D53A08" w14:textId="58A5D406" w:rsidR="00906224" w:rsidRDefault="00657A4F" w:rsidP="00580A3A">
      <w:r>
        <w:t xml:space="preserve">The current network connection framework is not </w:t>
      </w:r>
      <w:r w:rsidR="00A72CBC">
        <w:t>adequate</w:t>
      </w:r>
      <w:r>
        <w:t xml:space="preserve"> to encourage competition in this space. </w:t>
      </w:r>
      <w:r w:rsidR="009767DB">
        <w:t>O</w:t>
      </w:r>
      <w:r>
        <w:t xml:space="preserve">utside of </w:t>
      </w:r>
      <w:r w:rsidR="0034202E">
        <w:t>NSW</w:t>
      </w:r>
      <w:r w:rsidR="00A72CBC">
        <w:t>,</w:t>
      </w:r>
      <w:r w:rsidR="006776FC">
        <w:t xml:space="preserve"> jurisdictional </w:t>
      </w:r>
      <w:r>
        <w:t xml:space="preserve">frameworks </w:t>
      </w:r>
      <w:r w:rsidR="0034202E">
        <w:t>prohibit</w:t>
      </w:r>
      <w:r>
        <w:t xml:space="preserve"> competition. Even in NSW the framework limits innovation and the connection of stand-alone system</w:t>
      </w:r>
      <w:r w:rsidR="00EC3B21">
        <w:t>s</w:t>
      </w:r>
      <w:r>
        <w:t xml:space="preserve">. </w:t>
      </w:r>
      <w:r w:rsidR="0067316D">
        <w:t>PIAC understands that t</w:t>
      </w:r>
      <w:r>
        <w:t>he</w:t>
      </w:r>
      <w:r w:rsidR="00A14C8A">
        <w:t xml:space="preserve"> developers of the</w:t>
      </w:r>
      <w:r>
        <w:t xml:space="preserve"> </w:t>
      </w:r>
      <w:proofErr w:type="spellStart"/>
      <w:r>
        <w:t>Huntlee</w:t>
      </w:r>
      <w:proofErr w:type="spellEnd"/>
      <w:r>
        <w:t xml:space="preserve"> </w:t>
      </w:r>
      <w:r w:rsidR="00A14C8A">
        <w:t>project</w:t>
      </w:r>
      <w:r>
        <w:t xml:space="preserve"> in NSW </w:t>
      </w:r>
      <w:r w:rsidR="00A14C8A">
        <w:t>decided not</w:t>
      </w:r>
      <w:r w:rsidR="0067316D">
        <w:t xml:space="preserve"> to</w:t>
      </w:r>
      <w:r w:rsidR="00A14C8A">
        <w:t xml:space="preserve"> connect to the grid, as </w:t>
      </w:r>
      <w:r w:rsidR="00A72CBC">
        <w:t>current</w:t>
      </w:r>
      <w:r w:rsidR="00A14C8A">
        <w:t xml:space="preserve"> procedures </w:t>
      </w:r>
      <w:r w:rsidR="00A72CBC">
        <w:t>would require</w:t>
      </w:r>
      <w:r w:rsidR="00A14C8A">
        <w:t xml:space="preserve"> </w:t>
      </w:r>
      <w:r w:rsidR="0067316D">
        <w:t>that once the system was</w:t>
      </w:r>
      <w:r w:rsidR="00A14C8A">
        <w:t xml:space="preserve"> operational they </w:t>
      </w:r>
      <w:r w:rsidR="0067316D">
        <w:t xml:space="preserve">would </w:t>
      </w:r>
      <w:r w:rsidR="00A72CBC">
        <w:t>have</w:t>
      </w:r>
      <w:r w:rsidR="00A14C8A">
        <w:t xml:space="preserve"> to hand over the infrastructure to the distribution network.</w:t>
      </w:r>
      <w:r w:rsidR="00C15077">
        <w:t xml:space="preserve"> Going off-grid</w:t>
      </w:r>
      <w:r w:rsidR="00161B29">
        <w:t xml:space="preserve"> </w:t>
      </w:r>
      <w:r w:rsidR="00B82AD1">
        <w:t>may be the most sensible solution</w:t>
      </w:r>
      <w:r w:rsidR="00C15077">
        <w:t>, however</w:t>
      </w:r>
      <w:r w:rsidR="00161B29">
        <w:t>,</w:t>
      </w:r>
      <w:r w:rsidR="00C15077">
        <w:t xml:space="preserve"> </w:t>
      </w:r>
      <w:r w:rsidR="00B82AD1">
        <w:t xml:space="preserve">in cases where connection to the grid does not occur because of current regulations, </w:t>
      </w:r>
      <w:r w:rsidR="00C15077">
        <w:t xml:space="preserve">there </w:t>
      </w:r>
      <w:r w:rsidR="006776FC">
        <w:t>may</w:t>
      </w:r>
      <w:r w:rsidR="00C15077">
        <w:t xml:space="preserve"> be missed opportunities </w:t>
      </w:r>
      <w:r w:rsidR="00B82AD1">
        <w:t>from remaining</w:t>
      </w:r>
      <w:r w:rsidR="00161B29">
        <w:t xml:space="preserve"> connected. T</w:t>
      </w:r>
      <w:r w:rsidR="00C15077">
        <w:t>here is</w:t>
      </w:r>
      <w:r w:rsidR="00161B29">
        <w:t xml:space="preserve"> also</w:t>
      </w:r>
      <w:r w:rsidR="00C15077">
        <w:t xml:space="preserve"> greater risk to customers from being off-grid rather than having a </w:t>
      </w:r>
      <w:r w:rsidR="005D1B2F">
        <w:t xml:space="preserve">grid </w:t>
      </w:r>
      <w:r w:rsidR="00C15077">
        <w:t xml:space="preserve">connection as a backup. </w:t>
      </w:r>
    </w:p>
    <w:p w14:paraId="1BFB1193" w14:textId="77777777" w:rsidR="00906224" w:rsidRDefault="00906224" w:rsidP="00580A3A"/>
    <w:p w14:paraId="5F227EEA" w14:textId="04F5039C" w:rsidR="00657A4F" w:rsidRDefault="00161B29" w:rsidP="00580A3A">
      <w:r>
        <w:t>The</w:t>
      </w:r>
      <w:r w:rsidR="00401DE8">
        <w:t xml:space="preserve"> financial benefits</w:t>
      </w:r>
      <w:r>
        <w:t xml:space="preserve"> from competition in this space are significant,</w:t>
      </w:r>
      <w:r w:rsidR="00401DE8">
        <w:t xml:space="preserve"> as the recent E</w:t>
      </w:r>
      <w:r w:rsidR="00532488">
        <w:t xml:space="preserve">nergy </w:t>
      </w:r>
      <w:r w:rsidR="00401DE8">
        <w:t>N</w:t>
      </w:r>
      <w:r w:rsidR="00532488">
        <w:t xml:space="preserve">etwork </w:t>
      </w:r>
      <w:r w:rsidR="00401DE8">
        <w:t>A</w:t>
      </w:r>
      <w:r w:rsidR="00532488">
        <w:t>ssociation (ENA)</w:t>
      </w:r>
      <w:r w:rsidR="00401DE8">
        <w:t xml:space="preserve"> commissioned research from </w:t>
      </w:r>
      <w:proofErr w:type="spellStart"/>
      <w:r w:rsidR="00401DE8">
        <w:t>Energia</w:t>
      </w:r>
      <w:proofErr w:type="spellEnd"/>
      <w:r w:rsidR="00401DE8">
        <w:t xml:space="preserve"> </w:t>
      </w:r>
      <w:r>
        <w:t>demonstrate</w:t>
      </w:r>
      <w:r w:rsidR="00383034">
        <w:t>s</w:t>
      </w:r>
      <w:r>
        <w:t>. S</w:t>
      </w:r>
      <w:r w:rsidR="00401DE8">
        <w:t>avings generated by the ‘</w:t>
      </w:r>
      <w:r w:rsidR="001A4E87">
        <w:t>orchestrated</w:t>
      </w:r>
      <w:r w:rsidR="00401DE8">
        <w:t>’ management of the network with both stand-alone systems and individual households with distributed energy technology could result in savings of 16.2</w:t>
      </w:r>
      <w:r w:rsidR="001A4E87">
        <w:t xml:space="preserve"> billion across the NEM, or reduction of customers bills by 30%</w:t>
      </w:r>
      <w:r w:rsidR="002E3E07">
        <w:t xml:space="preserve"> by 2050</w:t>
      </w:r>
      <w:r w:rsidR="001A4E87">
        <w:t>.</w:t>
      </w:r>
      <w:r w:rsidR="001A4E87">
        <w:rPr>
          <w:rStyle w:val="FootnoteReference"/>
        </w:rPr>
        <w:footnoteReference w:id="13"/>
      </w:r>
      <w:r w:rsidR="002E3E07">
        <w:t xml:space="preserve"> </w:t>
      </w:r>
      <w:r w:rsidR="00230FC5">
        <w:t>T</w:t>
      </w:r>
      <w:r w:rsidR="00EE6250">
        <w:t xml:space="preserve">here are estimates that several hundred </w:t>
      </w:r>
      <w:r w:rsidR="002E3E07">
        <w:t>million has be</w:t>
      </w:r>
      <w:r w:rsidR="0063196E">
        <w:t>en</w:t>
      </w:r>
      <w:r w:rsidR="002E3E07">
        <w:t xml:space="preserve"> lost in the last 5 years, just from restricted competition in </w:t>
      </w:r>
      <w:r w:rsidR="006F3F7F">
        <w:t xml:space="preserve">connecting to the </w:t>
      </w:r>
      <w:r w:rsidR="00C06053">
        <w:t>distribution</w:t>
      </w:r>
      <w:r w:rsidR="006F3F7F">
        <w:t xml:space="preserve"> network</w:t>
      </w:r>
      <w:r w:rsidR="002E3E07">
        <w:t>.</w:t>
      </w:r>
      <w:r w:rsidR="00506596">
        <w:t xml:space="preserve"> PIAC recommends that the Energy Council review </w:t>
      </w:r>
      <w:r w:rsidR="009D3FB6">
        <w:t>current</w:t>
      </w:r>
      <w:r w:rsidR="00506596">
        <w:t xml:space="preserve"> connection and planning framework</w:t>
      </w:r>
      <w:r w:rsidR="009D3FB6">
        <w:t>s</w:t>
      </w:r>
      <w:r w:rsidR="00506596">
        <w:t xml:space="preserve"> in light of new technology options and if necessary propose a rule change to address the issue of limited competition. PIAC also recommends that the Energy Council review </w:t>
      </w:r>
      <w:proofErr w:type="spellStart"/>
      <w:r w:rsidR="00506596">
        <w:t>Ofgem’s</w:t>
      </w:r>
      <w:proofErr w:type="spellEnd"/>
      <w:r w:rsidR="00506596">
        <w:t xml:space="preserve"> approach to managing competition in connection and ensuring flexibility</w:t>
      </w:r>
      <w:r w:rsidR="005D1B2F">
        <w:t>,</w:t>
      </w:r>
      <w:r w:rsidR="0046647F">
        <w:t xml:space="preserve"> as the UK has progressed further along</w:t>
      </w:r>
      <w:r w:rsidR="0008254C">
        <w:t xml:space="preserve"> in promoting</w:t>
      </w:r>
      <w:r w:rsidR="00506596">
        <w:t xml:space="preserve"> competition and alternative energy systems for the benefit of consumers.  </w:t>
      </w:r>
    </w:p>
    <w:p w14:paraId="3A35C371" w14:textId="78381FEE" w:rsidR="00506596" w:rsidRDefault="00506596" w:rsidP="001D35EE">
      <w:pPr>
        <w:pStyle w:val="Recommendation"/>
      </w:pPr>
      <w:r>
        <w:t xml:space="preserve">Recommendation </w:t>
      </w:r>
      <w:r w:rsidR="00EC6D75">
        <w:t>5</w:t>
      </w:r>
    </w:p>
    <w:p w14:paraId="0190E823" w14:textId="7D2BACDA" w:rsidR="00506596" w:rsidRDefault="001D35EE" w:rsidP="001D35EE">
      <w:pPr>
        <w:pStyle w:val="Recommendationtext"/>
      </w:pPr>
      <w:r>
        <w:t xml:space="preserve">PIAC recommends that the Energy Council review network connection and planning to ensure that it </w:t>
      </w:r>
      <w:r w:rsidR="003B78D9">
        <w:t>facilitates</w:t>
      </w:r>
      <w:r>
        <w:t xml:space="preserve"> competition. </w:t>
      </w:r>
    </w:p>
    <w:p w14:paraId="0CCA6685" w14:textId="6D4326A5" w:rsidR="001D35EE" w:rsidRDefault="001D35EE" w:rsidP="001D35EE">
      <w:pPr>
        <w:pStyle w:val="Recommendation"/>
      </w:pPr>
      <w:r>
        <w:t xml:space="preserve">Recommendation </w:t>
      </w:r>
      <w:r w:rsidR="00EC6D75">
        <w:t>6</w:t>
      </w:r>
    </w:p>
    <w:p w14:paraId="3A4DBBD2" w14:textId="26AE731C" w:rsidR="001D35EE" w:rsidRPr="001D35EE" w:rsidRDefault="001D35EE" w:rsidP="001D35EE">
      <w:pPr>
        <w:pStyle w:val="Recommendationtext"/>
      </w:pPr>
      <w:r>
        <w:t xml:space="preserve">PIAC recommends that the Energy Council review </w:t>
      </w:r>
      <w:proofErr w:type="spellStart"/>
      <w:r>
        <w:t>Ofgem’s</w:t>
      </w:r>
      <w:proofErr w:type="spellEnd"/>
      <w:r>
        <w:t xml:space="preserve"> approach to network connection to promote flexibility and competition, to determine lessons that might be adopted here. </w:t>
      </w:r>
    </w:p>
    <w:p w14:paraId="01C48D45" w14:textId="6C6C3D19" w:rsidR="00C81645" w:rsidRDefault="00C81645" w:rsidP="00C81645">
      <w:pPr>
        <w:pStyle w:val="Heading2"/>
      </w:pPr>
      <w:r>
        <w:t xml:space="preserve">Pricing </w:t>
      </w:r>
    </w:p>
    <w:p w14:paraId="038C1FE1" w14:textId="2CEB1BE5" w:rsidR="00727FF4" w:rsidRDefault="00727FF4" w:rsidP="00C81645">
      <w:r>
        <w:t xml:space="preserve">The </w:t>
      </w:r>
      <w:r w:rsidR="00EA2F92">
        <w:t xml:space="preserve">first </w:t>
      </w:r>
      <w:r>
        <w:t xml:space="preserve">principle to </w:t>
      </w:r>
      <w:r w:rsidR="009B79F8">
        <w:t>be applied</w:t>
      </w:r>
      <w:r>
        <w:t xml:space="preserve"> to pricing should be that customers of </w:t>
      </w:r>
      <w:r w:rsidR="00B1215B">
        <w:t>stand-alone</w:t>
      </w:r>
      <w:r>
        <w:t xml:space="preserve"> systems are able to access affordable energy. The benefits of introducing stand-alone systems include reduction</w:t>
      </w:r>
      <w:r w:rsidR="007C5777">
        <w:t>s</w:t>
      </w:r>
      <w:r>
        <w:t xml:space="preserve"> in costs to the grid as a </w:t>
      </w:r>
      <w:r w:rsidR="009B79F8">
        <w:t>whole</w:t>
      </w:r>
      <w:r w:rsidR="007C5777">
        <w:t>, and</w:t>
      </w:r>
      <w:r w:rsidR="002622BC">
        <w:t xml:space="preserve"> </w:t>
      </w:r>
      <w:r w:rsidR="00EA2F92">
        <w:t xml:space="preserve">since this </w:t>
      </w:r>
      <w:r w:rsidR="002622BC">
        <w:t>benefit flow</w:t>
      </w:r>
      <w:r w:rsidR="00EA2F92">
        <w:t>s</w:t>
      </w:r>
      <w:r w:rsidR="002622BC">
        <w:t xml:space="preserve"> to all customers, the </w:t>
      </w:r>
      <w:r>
        <w:t xml:space="preserve">customers of stand-alone systems should not be paying more than </w:t>
      </w:r>
      <w:r w:rsidR="009B79F8">
        <w:t>grid-connected</w:t>
      </w:r>
      <w:r>
        <w:t xml:space="preserve"> customers. Given that the price cap for </w:t>
      </w:r>
      <w:r w:rsidR="009B79F8">
        <w:t>customers</w:t>
      </w:r>
      <w:r>
        <w:t xml:space="preserve"> of exempt sellers is the standard contract for that area, which in some cases is 20-40% higher than a market contract</w:t>
      </w:r>
      <w:bookmarkStart w:id="8" w:name="_Ref336848288"/>
      <w:r w:rsidR="00EA2F92">
        <w:t>,</w:t>
      </w:r>
      <w:r w:rsidR="006A4D86">
        <w:rPr>
          <w:rStyle w:val="FootnoteReference"/>
        </w:rPr>
        <w:footnoteReference w:id="14"/>
      </w:r>
      <w:bookmarkEnd w:id="8"/>
      <w:r>
        <w:t xml:space="preserve"> there is some risk that if a similar price cap is applied to stand-alone systems </w:t>
      </w:r>
      <w:r w:rsidR="00EA2F92">
        <w:t xml:space="preserve">consumers </w:t>
      </w:r>
      <w:r w:rsidR="009B79F8">
        <w:t xml:space="preserve">will not see the benefits of the distributed system. </w:t>
      </w:r>
      <w:r w:rsidR="00E826F3">
        <w:t>PIAC recommends that</w:t>
      </w:r>
      <w:r w:rsidR="005449F8">
        <w:t xml:space="preserve"> </w:t>
      </w:r>
      <w:r w:rsidR="00EA2F92">
        <w:t xml:space="preserve">the Energy Council </w:t>
      </w:r>
      <w:proofErr w:type="gramStart"/>
      <w:r w:rsidR="005449F8">
        <w:t>asks</w:t>
      </w:r>
      <w:proofErr w:type="gramEnd"/>
      <w:r w:rsidR="005449F8">
        <w:t xml:space="preserve"> AER to re-examine if this is the best form of price cap for embedded networks and stand-alone systems.</w:t>
      </w:r>
    </w:p>
    <w:p w14:paraId="147BB2E6" w14:textId="77777777" w:rsidR="009B79F8" w:rsidRDefault="009B79F8" w:rsidP="00C81645"/>
    <w:p w14:paraId="5AB6A5E4" w14:textId="1494D3B6" w:rsidR="0063656A" w:rsidRPr="002E7DCF" w:rsidRDefault="001C5DC1" w:rsidP="00C81645">
      <w:r>
        <w:t xml:space="preserve">PIAC would support the </w:t>
      </w:r>
      <w:r w:rsidR="00EA2F92">
        <w:t>requirement for</w:t>
      </w:r>
      <w:r>
        <w:t xml:space="preserve"> annual reporting of prices from </w:t>
      </w:r>
      <w:r w:rsidR="00521B27">
        <w:t>stand-alone</w:t>
      </w:r>
      <w:r>
        <w:t xml:space="preserve"> systems and possibly the development of a benchmarking s</w:t>
      </w:r>
      <w:r w:rsidR="00521B27">
        <w:t>ystem to ensure that pricing for this essential service is equitable. PIAC understands that the AER</w:t>
      </w:r>
      <w:r w:rsidR="00EA2F92">
        <w:t>,</w:t>
      </w:r>
      <w:r w:rsidR="00521B27">
        <w:t xml:space="preserve"> in the latest review of the exempt sellers framework</w:t>
      </w:r>
      <w:r w:rsidR="00EA2F92">
        <w:t>,</w:t>
      </w:r>
      <w:r w:rsidR="00521B27">
        <w:t xml:space="preserve"> did not agree to require exempt sellers to annually report their prices, </w:t>
      </w:r>
      <w:r w:rsidR="00552D86">
        <w:t>explaining</w:t>
      </w:r>
      <w:r w:rsidR="00521B27">
        <w:t xml:space="preserve"> that authorised retailers are not required to do this.</w:t>
      </w:r>
      <w:r w:rsidR="00521B27">
        <w:rPr>
          <w:rStyle w:val="FootnoteReference"/>
        </w:rPr>
        <w:footnoteReference w:id="15"/>
      </w:r>
      <w:r w:rsidR="00521B27">
        <w:t xml:space="preserve"> </w:t>
      </w:r>
      <w:r w:rsidR="00521B27" w:rsidRPr="002E7DCF">
        <w:t xml:space="preserve">However, </w:t>
      </w:r>
      <w:r w:rsidR="00EA2F92">
        <w:t xml:space="preserve">authorised retailers </w:t>
      </w:r>
      <w:r w:rsidR="00521B27" w:rsidRPr="002E7DCF">
        <w:t>are required to provide accurate pricing to the Energy Made Easy website</w:t>
      </w:r>
      <w:r w:rsidR="00EA2F92">
        <w:t>,</w:t>
      </w:r>
      <w:r w:rsidR="00521B27" w:rsidRPr="002E7DCF">
        <w:t xml:space="preserve"> which allows customers to compare with other retailers. Given that residents of embedded network</w:t>
      </w:r>
      <w:r w:rsidR="00EA2F92">
        <w:t>s</w:t>
      </w:r>
      <w:r w:rsidR="00521B27" w:rsidRPr="002E7DCF">
        <w:t xml:space="preserve"> and stand</w:t>
      </w:r>
      <w:r w:rsidR="00EA2F92">
        <w:t>-</w:t>
      </w:r>
      <w:r w:rsidR="00521B27" w:rsidRPr="002E7DCF">
        <w:t xml:space="preserve">alone systems are not able to shop around using comparator websites like </w:t>
      </w:r>
      <w:r w:rsidR="007E6B55">
        <w:t>E</w:t>
      </w:r>
      <w:r w:rsidR="007E6B55" w:rsidRPr="002E7DCF">
        <w:t xml:space="preserve">nergy </w:t>
      </w:r>
      <w:r w:rsidR="007E6B55">
        <w:t>M</w:t>
      </w:r>
      <w:r w:rsidR="007E6B55" w:rsidRPr="002E7DCF">
        <w:t xml:space="preserve">ade </w:t>
      </w:r>
      <w:r w:rsidR="007E6B55">
        <w:t>E</w:t>
      </w:r>
      <w:r w:rsidR="007E6B55" w:rsidRPr="002E7DCF">
        <w:t>asy</w:t>
      </w:r>
      <w:r w:rsidR="00521B27" w:rsidRPr="002E7DCF">
        <w:t xml:space="preserve">, price reporting would enable those customers to compare the prices they are charged with similar systems. </w:t>
      </w:r>
    </w:p>
    <w:p w14:paraId="134053B1" w14:textId="77777777" w:rsidR="00521B27" w:rsidRDefault="00521B27" w:rsidP="00C81645"/>
    <w:p w14:paraId="47A1621A" w14:textId="2488C8B6" w:rsidR="00517392" w:rsidRDefault="001B7A54" w:rsidP="00C81645">
      <w:r>
        <w:t xml:space="preserve">Customers of stand-alone systems </w:t>
      </w:r>
      <w:r w:rsidR="006A580B">
        <w:t xml:space="preserve">who rely on the system as their sole energy supply </w:t>
      </w:r>
      <w:r>
        <w:t>should be able to a</w:t>
      </w:r>
      <w:r w:rsidR="002076DA">
        <w:t xml:space="preserve">ccess concessions, </w:t>
      </w:r>
      <w:r w:rsidR="0063656A">
        <w:t xml:space="preserve">rebates </w:t>
      </w:r>
      <w:r w:rsidR="002076DA">
        <w:t>and hardship programs</w:t>
      </w:r>
      <w:r w:rsidR="009E1C4B">
        <w:t xml:space="preserve"> </w:t>
      </w:r>
      <w:r w:rsidR="0089661A">
        <w:t>just like anyone connected to the grid. There should be a m</w:t>
      </w:r>
      <w:r w:rsidR="00517392">
        <w:t xml:space="preserve">inimum </w:t>
      </w:r>
      <w:r w:rsidR="0089661A">
        <w:t xml:space="preserve">of </w:t>
      </w:r>
      <w:r w:rsidR="00517392">
        <w:t>two payment options</w:t>
      </w:r>
      <w:r w:rsidR="00EA2F92">
        <w:t>,</w:t>
      </w:r>
      <w:r w:rsidR="00135D41">
        <w:t xml:space="preserve"> with one option being a non-internet based option. </w:t>
      </w:r>
      <w:r w:rsidR="00EA2F92">
        <w:t xml:space="preserve">The Energy Council </w:t>
      </w:r>
      <w:r w:rsidR="0089661A">
        <w:t xml:space="preserve">should </w:t>
      </w:r>
      <w:r w:rsidR="00627CF9">
        <w:t>investigate</w:t>
      </w:r>
      <w:r w:rsidR="0089661A">
        <w:t xml:space="preserve"> if it is feasible to offer c</w:t>
      </w:r>
      <w:r w:rsidR="00135D41">
        <w:t xml:space="preserve">ustomers of these systems </w:t>
      </w:r>
      <w:r w:rsidR="0089661A">
        <w:t xml:space="preserve">access to </w:t>
      </w:r>
      <w:r w:rsidR="00AF3B01">
        <w:t>Centre</w:t>
      </w:r>
      <w:r w:rsidR="000E6747">
        <w:t>p</w:t>
      </w:r>
      <w:r w:rsidR="00AF3B01">
        <w:t>ay</w:t>
      </w:r>
      <w:r w:rsidR="0089661A">
        <w:t xml:space="preserve">. </w:t>
      </w:r>
    </w:p>
    <w:p w14:paraId="03192A7C" w14:textId="6FB486DB" w:rsidR="00CB0A94" w:rsidRDefault="00CB0A94" w:rsidP="00CB0A94">
      <w:pPr>
        <w:pStyle w:val="Recommendation"/>
      </w:pPr>
      <w:r>
        <w:t xml:space="preserve">Recommendation </w:t>
      </w:r>
      <w:r w:rsidR="00EC6D75">
        <w:t>7</w:t>
      </w:r>
    </w:p>
    <w:p w14:paraId="4EB5F551" w14:textId="1D6A9299" w:rsidR="004A1FF9" w:rsidRDefault="00CB0A94" w:rsidP="00CB0A94">
      <w:pPr>
        <w:pStyle w:val="Recommendationtext"/>
      </w:pPr>
      <w:r>
        <w:t>PIAC recommends that</w:t>
      </w:r>
      <w:r w:rsidR="000E6747" w:rsidRPr="000E6747">
        <w:t xml:space="preserve"> </w:t>
      </w:r>
      <w:r w:rsidR="000E6747">
        <w:t xml:space="preserve">the Energy Council </w:t>
      </w:r>
      <w:r>
        <w:t xml:space="preserve">ask AER to re-examine the price cap applied in embedded networks and a possible price cap for stand-alone systems to ensure that customers of these systems are not paying more than </w:t>
      </w:r>
      <w:r w:rsidR="000E6747">
        <w:t xml:space="preserve">the applicable </w:t>
      </w:r>
      <w:r>
        <w:t xml:space="preserve">market contract. </w:t>
      </w:r>
    </w:p>
    <w:p w14:paraId="3591145F" w14:textId="47546F13" w:rsidR="004A1FF9" w:rsidRDefault="004A1FF9" w:rsidP="004A1FF9">
      <w:pPr>
        <w:pStyle w:val="Recommendation"/>
      </w:pPr>
      <w:r>
        <w:t xml:space="preserve">Recommendation </w:t>
      </w:r>
      <w:r w:rsidR="00EC6D75">
        <w:t>8</w:t>
      </w:r>
    </w:p>
    <w:p w14:paraId="53D08A73" w14:textId="1C86A870" w:rsidR="004A1FF9" w:rsidRPr="004A1FF9" w:rsidRDefault="004A1FF9" w:rsidP="004A1FF9">
      <w:pPr>
        <w:pStyle w:val="Recommendationtext"/>
      </w:pPr>
      <w:r>
        <w:t xml:space="preserve">PIAC recommends </w:t>
      </w:r>
      <w:r w:rsidR="00727D96">
        <w:t xml:space="preserve">that customers of stand-alone systems be able to access concessions, rebates, hardship programs and multiple payment options. </w:t>
      </w:r>
    </w:p>
    <w:p w14:paraId="2B5E035D" w14:textId="50B3C26D" w:rsidR="00BF2072" w:rsidRDefault="00BF2072" w:rsidP="00BF2072">
      <w:pPr>
        <w:pStyle w:val="Heading2"/>
      </w:pPr>
      <w:r>
        <w:t xml:space="preserve">Provision of information </w:t>
      </w:r>
    </w:p>
    <w:p w14:paraId="63EB5D02" w14:textId="775515F5" w:rsidR="00361E6D" w:rsidRPr="00572EEA" w:rsidRDefault="00361E6D" w:rsidP="00361E6D">
      <w:pPr>
        <w:rPr>
          <w:lang w:val="en-US"/>
        </w:rPr>
      </w:pPr>
      <w:r>
        <w:t>Cus</w:t>
      </w:r>
      <w:r w:rsidR="00572EEA">
        <w:t xml:space="preserve">tomers who are served by a stand-alone system </w:t>
      </w:r>
      <w:r>
        <w:t>should be given enough information to understand pricing, their rights, and how to manage their energy use under a stand alone system</w:t>
      </w:r>
      <w:r w:rsidR="004F3F7E">
        <w:t>,</w:t>
      </w:r>
      <w:r>
        <w:t xml:space="preserve"> which may have different requirements </w:t>
      </w:r>
      <w:r w:rsidR="007E6B55">
        <w:t xml:space="preserve">from </w:t>
      </w:r>
      <w:r>
        <w:t xml:space="preserve">a grid connected home. </w:t>
      </w:r>
    </w:p>
    <w:p w14:paraId="33623852" w14:textId="77777777" w:rsidR="00807545" w:rsidRDefault="00807545" w:rsidP="00361E6D"/>
    <w:p w14:paraId="5A176752" w14:textId="64E3B75C" w:rsidR="00807545" w:rsidRDefault="00807545" w:rsidP="00361E6D">
      <w:r>
        <w:t xml:space="preserve">Customers of </w:t>
      </w:r>
      <w:r w:rsidR="0085276B">
        <w:t>stand-alone</w:t>
      </w:r>
      <w:r>
        <w:t xml:space="preserve"> systems should still be issued bills outl</w:t>
      </w:r>
      <w:r w:rsidR="007E6B55">
        <w:t>ini</w:t>
      </w:r>
      <w:r>
        <w:t xml:space="preserve">ng their energy use, tariff and price, </w:t>
      </w:r>
      <w:r w:rsidR="00070C47">
        <w:t xml:space="preserve">and payment options. There have been issues </w:t>
      </w:r>
      <w:r w:rsidR="000E6747">
        <w:t xml:space="preserve">with </w:t>
      </w:r>
      <w:r w:rsidR="00070C47">
        <w:t>customers of exempt sellers not being issued bill</w:t>
      </w:r>
      <w:r w:rsidR="007E6B55">
        <w:t>s</w:t>
      </w:r>
      <w:r w:rsidR="000E6747">
        <w:t>,</w:t>
      </w:r>
      <w:r w:rsidR="007E6B55">
        <w:t xml:space="preserve"> and </w:t>
      </w:r>
      <w:r w:rsidR="000E6747">
        <w:t>this problem should not be repeated for stand-alone systems</w:t>
      </w:r>
      <w:r w:rsidR="00602288">
        <w:t>.</w:t>
      </w:r>
    </w:p>
    <w:p w14:paraId="6610F726" w14:textId="15ED5396" w:rsidR="00123041" w:rsidRDefault="00C86456" w:rsidP="00123041">
      <w:pPr>
        <w:pStyle w:val="Recommendation"/>
      </w:pPr>
      <w:r>
        <w:t xml:space="preserve">Recommendation </w:t>
      </w:r>
      <w:r w:rsidR="00EC6D75">
        <w:t>9</w:t>
      </w:r>
    </w:p>
    <w:p w14:paraId="041B55B4" w14:textId="0EFE2EF9" w:rsidR="00C86456" w:rsidRPr="00AE2131" w:rsidRDefault="00C86456" w:rsidP="00C86456">
      <w:pPr>
        <w:rPr>
          <w:i/>
        </w:rPr>
      </w:pPr>
      <w:r w:rsidRPr="00AE2131">
        <w:rPr>
          <w:i/>
        </w:rPr>
        <w:t xml:space="preserve">PIAC recommends that </w:t>
      </w:r>
      <w:r w:rsidR="003D7D4F" w:rsidRPr="00AE2131">
        <w:rPr>
          <w:i/>
        </w:rPr>
        <w:t xml:space="preserve">the AER be responsible for </w:t>
      </w:r>
      <w:r w:rsidR="000E6747">
        <w:rPr>
          <w:i/>
        </w:rPr>
        <w:t>monitoring the standard</w:t>
      </w:r>
      <w:r w:rsidR="000E6747" w:rsidRPr="00AE2131">
        <w:rPr>
          <w:i/>
        </w:rPr>
        <w:t xml:space="preserve"> </w:t>
      </w:r>
      <w:r w:rsidR="003D7D4F" w:rsidRPr="00AE2131">
        <w:rPr>
          <w:i/>
        </w:rPr>
        <w:t xml:space="preserve">information provided to customers of stand-alone systems to ensure that it is appropriate to facilitate effective </w:t>
      </w:r>
      <w:r w:rsidR="00256E7B" w:rsidRPr="00AE2131">
        <w:rPr>
          <w:i/>
        </w:rPr>
        <w:t>decision-making</w:t>
      </w:r>
      <w:r w:rsidR="003D7D4F" w:rsidRPr="00AE2131">
        <w:rPr>
          <w:i/>
        </w:rPr>
        <w:t xml:space="preserve"> and obtaining explicit and informed consent. </w:t>
      </w:r>
    </w:p>
    <w:p w14:paraId="2F2EBCF2" w14:textId="12C01852" w:rsidR="00C63746" w:rsidRDefault="00C63746" w:rsidP="00C63746">
      <w:pPr>
        <w:pStyle w:val="Heading2"/>
      </w:pPr>
      <w:r>
        <w:t xml:space="preserve">Competition </w:t>
      </w:r>
    </w:p>
    <w:p w14:paraId="62C57BD1" w14:textId="41779C1D" w:rsidR="0074543D" w:rsidRDefault="000E6747" w:rsidP="0074543D">
      <w:r>
        <w:t>PIAC has recommended that stand-alone systems be registered. T</w:t>
      </w:r>
      <w:r w:rsidR="00BB21CF">
        <w:t xml:space="preserve">his will lead to greater transparency of data </w:t>
      </w:r>
      <w:r>
        <w:t>and</w:t>
      </w:r>
      <w:r w:rsidR="009F5DFB">
        <w:t xml:space="preserve"> facilitate competitio</w:t>
      </w:r>
      <w:r w:rsidR="004B38AC">
        <w:t>n by</w:t>
      </w:r>
      <w:r w:rsidR="009F5DFB">
        <w:t xml:space="preserve"> </w:t>
      </w:r>
      <w:r w:rsidR="004B38AC">
        <w:t xml:space="preserve">reducing </w:t>
      </w:r>
      <w:r w:rsidR="009F5DFB">
        <w:t>the burden on third parties entering the space.</w:t>
      </w:r>
      <w:r w:rsidR="009F5DFB">
        <w:rPr>
          <w:rStyle w:val="FootnoteReference"/>
        </w:rPr>
        <w:footnoteReference w:id="16"/>
      </w:r>
      <w:r w:rsidR="009F5DFB">
        <w:t xml:space="preserve"> </w:t>
      </w:r>
      <w:r w:rsidR="00B1087D">
        <w:t>If networks adopt a stand-alone system as the least cost solution, they should be required to undertake an open tender process to ensure transparency and provide an opportunity for third parties to enter the space. However, it is important to ensure that the national ring</w:t>
      </w:r>
      <w:r w:rsidR="008A05D9">
        <w:t>-</w:t>
      </w:r>
      <w:r w:rsidR="00B1087D">
        <w:t xml:space="preserve">fencing guidelines are </w:t>
      </w:r>
      <w:r w:rsidR="00EC65D6">
        <w:t>robust</w:t>
      </w:r>
      <w:r w:rsidR="00B1087D">
        <w:t xml:space="preserve"> to ensure that the networks are not able to use their market power to stifle competition. As the guidelines are currently in development, PIAC recommends that </w:t>
      </w:r>
      <w:r>
        <w:t xml:space="preserve">the Energy Council </w:t>
      </w:r>
      <w:r w:rsidR="00B1087D">
        <w:t xml:space="preserve">work with the AER to ensure </w:t>
      </w:r>
      <w:proofErr w:type="gramStart"/>
      <w:r w:rsidR="00B1087D">
        <w:t>ring-fencing</w:t>
      </w:r>
      <w:proofErr w:type="gramEnd"/>
      <w:r w:rsidR="00B1087D">
        <w:t xml:space="preserve"> will </w:t>
      </w:r>
      <w:r w:rsidR="00F36108">
        <w:t>appropriately extend into</w:t>
      </w:r>
      <w:r w:rsidR="00B1087D">
        <w:t xml:space="preserve"> this space. </w:t>
      </w:r>
    </w:p>
    <w:p w14:paraId="4AA1BEA9" w14:textId="12565AFD" w:rsidR="00EC65D6" w:rsidRDefault="00EC65D6" w:rsidP="00EC65D6">
      <w:pPr>
        <w:pStyle w:val="Recommendation"/>
      </w:pPr>
      <w:r>
        <w:t xml:space="preserve">Recommendation </w:t>
      </w:r>
      <w:r w:rsidR="00EC6D75">
        <w:t>10</w:t>
      </w:r>
    </w:p>
    <w:p w14:paraId="2AE16576" w14:textId="24ACE379" w:rsidR="00304D62" w:rsidRDefault="00EC65D6" w:rsidP="00EC65D6">
      <w:pPr>
        <w:pStyle w:val="Recommendationtext"/>
      </w:pPr>
      <w:r>
        <w:t xml:space="preserve">PIAC recommends that </w:t>
      </w:r>
      <w:r w:rsidR="000E6747">
        <w:t>the Energy Council</w:t>
      </w:r>
      <w:r>
        <w:t xml:space="preserve"> work closely with AER to ensure the national ring-fencing guidelines currently in development are robust and will work in this space.</w:t>
      </w:r>
    </w:p>
    <w:p w14:paraId="53D5764E" w14:textId="77777777" w:rsidR="006D6F03" w:rsidRDefault="006D6F03" w:rsidP="00907C9E">
      <w:pPr>
        <w:pStyle w:val="Heading1"/>
        <w:rPr>
          <w:lang w:val="en-US"/>
        </w:rPr>
      </w:pPr>
      <w:r>
        <w:rPr>
          <w:lang w:val="en-US"/>
        </w:rPr>
        <w:t>What protections are necessary for customers serviced by stand-alone systems?</w:t>
      </w:r>
    </w:p>
    <w:p w14:paraId="4D2BF643" w14:textId="62F3D506" w:rsidR="0074543D" w:rsidRPr="0074543D" w:rsidRDefault="0074543D" w:rsidP="0074543D">
      <w:pPr>
        <w:pStyle w:val="Heading2"/>
      </w:pPr>
      <w:r>
        <w:t>Access to retailer of choice</w:t>
      </w:r>
    </w:p>
    <w:p w14:paraId="7799D029" w14:textId="5D6A87EC" w:rsidR="00A537E5" w:rsidRPr="00C63746" w:rsidRDefault="0046592D" w:rsidP="00C63746">
      <w:r>
        <w:t xml:space="preserve">PIAC </w:t>
      </w:r>
      <w:r w:rsidR="00CD204D">
        <w:t xml:space="preserve">considers </w:t>
      </w:r>
      <w:r w:rsidR="00D52DD6">
        <w:t xml:space="preserve">that customers of stand-alone systems should have access </w:t>
      </w:r>
      <w:r w:rsidR="003239C6">
        <w:t xml:space="preserve">to </w:t>
      </w:r>
      <w:r w:rsidR="00CD204D">
        <w:t xml:space="preserve">the </w:t>
      </w:r>
      <w:r w:rsidR="003239C6">
        <w:t xml:space="preserve">benefits of a competitive market </w:t>
      </w:r>
      <w:r w:rsidR="00B72A89">
        <w:t xml:space="preserve">or </w:t>
      </w:r>
      <w:r w:rsidR="00CD204D">
        <w:t xml:space="preserve">to </w:t>
      </w:r>
      <w:r w:rsidR="00B72A89">
        <w:t>regulation that mimics competition</w:t>
      </w:r>
      <w:r w:rsidR="00CD204D">
        <w:t>,</w:t>
      </w:r>
      <w:r w:rsidR="00B72A89">
        <w:t xml:space="preserve"> where it is not practical to have a competitive market or where competition would not be </w:t>
      </w:r>
      <w:r w:rsidR="00337D3E">
        <w:t xml:space="preserve">effective, such as </w:t>
      </w:r>
      <w:r w:rsidR="00CD204D">
        <w:t xml:space="preserve">in </w:t>
      </w:r>
      <w:r w:rsidR="00337D3E">
        <w:t xml:space="preserve">remote and regional areas. </w:t>
      </w:r>
      <w:r w:rsidR="0027385A">
        <w:t>In some circumstances it may be appropriate to provide customer</w:t>
      </w:r>
      <w:r w:rsidR="00CD204D">
        <w:t>s with</w:t>
      </w:r>
      <w:r w:rsidR="0027385A">
        <w:t xml:space="preserve"> access to a retailer of choice</w:t>
      </w:r>
      <w:r w:rsidR="00CD204D">
        <w:t>,</w:t>
      </w:r>
      <w:r w:rsidR="0027385A">
        <w:t xml:space="preserve"> particularly if </w:t>
      </w:r>
      <w:r w:rsidR="00CD204D">
        <w:t xml:space="preserve">the stand-alone system </w:t>
      </w:r>
      <w:r w:rsidR="0027385A">
        <w:t>is a network driven project. However, understandably</w:t>
      </w:r>
      <w:r w:rsidR="00CD204D">
        <w:t>, there are</w:t>
      </w:r>
      <w:r w:rsidR="0027385A">
        <w:t xml:space="preserve"> real challenges in providing that to </w:t>
      </w:r>
      <w:r w:rsidR="00CD204D">
        <w:t xml:space="preserve">all </w:t>
      </w:r>
      <w:r w:rsidR="0027385A">
        <w:t>customers</w:t>
      </w:r>
      <w:r w:rsidR="00CD204D">
        <w:t>,</w:t>
      </w:r>
      <w:r w:rsidR="0027385A">
        <w:t xml:space="preserve"> especially in cases where the scheme is </w:t>
      </w:r>
      <w:r w:rsidR="00CD204D">
        <w:t xml:space="preserve">on </w:t>
      </w:r>
      <w:r w:rsidR="0027385A">
        <w:t>a small</w:t>
      </w:r>
      <w:r w:rsidR="00CD204D">
        <w:t xml:space="preserve"> scale </w:t>
      </w:r>
      <w:r w:rsidR="0027385A">
        <w:t xml:space="preserve">or </w:t>
      </w:r>
      <w:r w:rsidR="00CD204D">
        <w:t xml:space="preserve">in </w:t>
      </w:r>
      <w:r w:rsidR="0027385A">
        <w:t xml:space="preserve">remote location </w:t>
      </w:r>
      <w:r w:rsidR="00CD204D">
        <w:t xml:space="preserve">where </w:t>
      </w:r>
      <w:r w:rsidR="0027385A">
        <w:t xml:space="preserve">competition </w:t>
      </w:r>
      <w:r w:rsidR="00CD204D">
        <w:t>does not exist</w:t>
      </w:r>
      <w:r w:rsidR="0027385A">
        <w:t>.</w:t>
      </w:r>
      <w:r w:rsidR="008A444F">
        <w:t xml:space="preserve"> PIAC recommend</w:t>
      </w:r>
      <w:r w:rsidR="00CD204D">
        <w:t>s</w:t>
      </w:r>
      <w:r w:rsidR="008A444F">
        <w:t xml:space="preserve"> that COAG provide more information on this </w:t>
      </w:r>
      <w:r w:rsidR="00CD204D">
        <w:t xml:space="preserve">issue </w:t>
      </w:r>
      <w:r w:rsidR="008A444F">
        <w:t xml:space="preserve">during the </w:t>
      </w:r>
      <w:r w:rsidR="00FA0745">
        <w:t xml:space="preserve">next stage of consultation. </w:t>
      </w:r>
    </w:p>
    <w:p w14:paraId="29E1E3B6" w14:textId="33184657" w:rsidR="00417AA4" w:rsidRDefault="00417AA4" w:rsidP="00417AA4">
      <w:pPr>
        <w:pStyle w:val="Heading2"/>
        <w:rPr>
          <w:lang w:val="en-US"/>
        </w:rPr>
      </w:pPr>
      <w:r>
        <w:rPr>
          <w:lang w:val="en-US"/>
        </w:rPr>
        <w:t xml:space="preserve">Consumer protections </w:t>
      </w:r>
    </w:p>
    <w:p w14:paraId="6B1D552C" w14:textId="200475E8" w:rsidR="00D255E1" w:rsidRDefault="00D95716" w:rsidP="00417AA4">
      <w:r>
        <w:t xml:space="preserve">PIAC has </w:t>
      </w:r>
      <w:r w:rsidR="00CD204D">
        <w:t xml:space="preserve">made a submission in response </w:t>
      </w:r>
      <w:r>
        <w:t xml:space="preserve">to </w:t>
      </w:r>
      <w:r w:rsidR="00CD204D">
        <w:t xml:space="preserve">the Energy Council’s </w:t>
      </w:r>
      <w:r>
        <w:t xml:space="preserve">discussion paper on consumer </w:t>
      </w:r>
      <w:r w:rsidR="00D255E1">
        <w:t>protections</w:t>
      </w:r>
      <w:r w:rsidR="00CD204D">
        <w:t>,</w:t>
      </w:r>
      <w:r w:rsidR="00D255E1">
        <w:rPr>
          <w:rStyle w:val="FootnoteReference"/>
        </w:rPr>
        <w:footnoteReference w:id="17"/>
      </w:r>
      <w:r w:rsidR="004976D1">
        <w:t xml:space="preserve"> which</w:t>
      </w:r>
      <w:r w:rsidR="009E24A3">
        <w:t xml:space="preserve"> outlined </w:t>
      </w:r>
      <w:r w:rsidR="00D255E1">
        <w:t xml:space="preserve">our position </w:t>
      </w:r>
      <w:r w:rsidR="004976D1">
        <w:t>on</w:t>
      </w:r>
      <w:r w:rsidR="00F373BE">
        <w:t xml:space="preserve"> aspects of this issue. </w:t>
      </w:r>
      <w:r w:rsidR="004976D1">
        <w:t>T</w:t>
      </w:r>
      <w:r w:rsidR="00F373BE">
        <w:t xml:space="preserve">here are </w:t>
      </w:r>
      <w:r w:rsidR="004976D1">
        <w:t xml:space="preserve">some </w:t>
      </w:r>
      <w:r w:rsidR="00F373BE">
        <w:t>specific issues that differ between behind the</w:t>
      </w:r>
      <w:r w:rsidR="001C38C0">
        <w:t xml:space="preserve"> meter and </w:t>
      </w:r>
      <w:r w:rsidR="009E24A3">
        <w:t>stand-alone</w:t>
      </w:r>
      <w:r w:rsidR="001C38C0">
        <w:t xml:space="preserve"> systems, as </w:t>
      </w:r>
      <w:r w:rsidR="009E24A3">
        <w:t>stand-alone</w:t>
      </w:r>
      <w:r w:rsidR="001C38C0">
        <w:t xml:space="preserve"> systems provide all energy services rather than just add</w:t>
      </w:r>
      <w:r w:rsidR="009E24A3">
        <w:t>-</w:t>
      </w:r>
      <w:r w:rsidR="001C38C0">
        <w:t xml:space="preserve">on services. </w:t>
      </w:r>
      <w:r w:rsidR="004976D1">
        <w:t>When a stand-alone system</w:t>
      </w:r>
      <w:r w:rsidR="001C38C0">
        <w:t xml:space="preserve"> </w:t>
      </w:r>
      <w:r w:rsidR="009E24A3">
        <w:t>constitute</w:t>
      </w:r>
      <w:r w:rsidR="004976D1">
        <w:t>s</w:t>
      </w:r>
      <w:r w:rsidR="009E24A3">
        <w:t xml:space="preserve"> </w:t>
      </w:r>
      <w:r w:rsidR="00A77299">
        <w:t xml:space="preserve">the </w:t>
      </w:r>
      <w:r w:rsidR="009E24A3">
        <w:t>sole supply</w:t>
      </w:r>
      <w:r w:rsidR="001C38C0">
        <w:t xml:space="preserve"> of an essential service</w:t>
      </w:r>
      <w:r w:rsidR="009E24A3">
        <w:t xml:space="preserve">, </w:t>
      </w:r>
      <w:r w:rsidR="004976D1">
        <w:t xml:space="preserve">it </w:t>
      </w:r>
      <w:r w:rsidR="009E24A3">
        <w:t xml:space="preserve">should </w:t>
      </w:r>
      <w:r w:rsidR="001C38C0">
        <w:t xml:space="preserve">be regulated </w:t>
      </w:r>
      <w:r w:rsidR="00390CAB">
        <w:t>in the same manner as grid connected services</w:t>
      </w:r>
      <w:r w:rsidR="004976D1">
        <w:t>,</w:t>
      </w:r>
      <w:r w:rsidR="00A77299">
        <w:t xml:space="preserve"> to the greatest extent possible</w:t>
      </w:r>
      <w:r w:rsidR="001C38C0">
        <w:t>.</w:t>
      </w:r>
    </w:p>
    <w:p w14:paraId="504F840D" w14:textId="77777777" w:rsidR="00F373BE" w:rsidRDefault="00F373BE" w:rsidP="00417AA4"/>
    <w:p w14:paraId="6135AFE1" w14:textId="0A4B1FF3" w:rsidR="00F373BE" w:rsidRDefault="004976D1" w:rsidP="00417AA4">
      <w:r>
        <w:t>P</w:t>
      </w:r>
      <w:r w:rsidR="00A70DDE">
        <w:t>articular</w:t>
      </w:r>
      <w:r w:rsidR="00F373BE">
        <w:t xml:space="preserve"> issues </w:t>
      </w:r>
      <w:r>
        <w:t xml:space="preserve">arise for </w:t>
      </w:r>
      <w:r w:rsidR="00A70DDE">
        <w:t xml:space="preserve">tenants of rental properties </w:t>
      </w:r>
      <w:r>
        <w:t xml:space="preserve">within a stand-alone system, and for </w:t>
      </w:r>
      <w:r w:rsidR="00A70DDE">
        <w:t xml:space="preserve">the </w:t>
      </w:r>
      <w:r w:rsidR="00F373BE">
        <w:t xml:space="preserve">transfer of ownership of </w:t>
      </w:r>
      <w:r w:rsidR="00A70DDE">
        <w:t xml:space="preserve">a </w:t>
      </w:r>
      <w:r w:rsidR="00F373BE">
        <w:t>house</w:t>
      </w:r>
      <w:r w:rsidR="00785DE9">
        <w:t xml:space="preserve"> </w:t>
      </w:r>
      <w:r w:rsidR="00A70DDE">
        <w:t xml:space="preserve">that is </w:t>
      </w:r>
      <w:r w:rsidR="00785DE9">
        <w:t xml:space="preserve">within a </w:t>
      </w:r>
      <w:r w:rsidR="00321EFC">
        <w:t>micro grid</w:t>
      </w:r>
      <w:r w:rsidR="00A70DDE">
        <w:t xml:space="preserve">. It will be vital to ensure that </w:t>
      </w:r>
      <w:r w:rsidR="00F373BE">
        <w:t xml:space="preserve">those residents have access to full information disclosure </w:t>
      </w:r>
      <w:r>
        <w:t xml:space="preserve">to </w:t>
      </w:r>
      <w:r w:rsidR="00A70DDE">
        <w:t xml:space="preserve">enable </w:t>
      </w:r>
      <w:r w:rsidR="00F373BE">
        <w:t>explicit informed consent. There are</w:t>
      </w:r>
      <w:r>
        <w:t xml:space="preserve"> unresolved </w:t>
      </w:r>
      <w:r w:rsidR="00F373BE">
        <w:t xml:space="preserve">questions </w:t>
      </w:r>
      <w:r>
        <w:t xml:space="preserve">about </w:t>
      </w:r>
      <w:r w:rsidR="00F373BE">
        <w:t xml:space="preserve">who is responsible for providing this </w:t>
      </w:r>
      <w:r>
        <w:t>information, which</w:t>
      </w:r>
      <w:r w:rsidR="00F373BE">
        <w:t xml:space="preserve"> will vary with the ownership model in question. However, it should not be left to the individual </w:t>
      </w:r>
      <w:r w:rsidR="00DE41A4">
        <w:t xml:space="preserve">who is </w:t>
      </w:r>
      <w:r>
        <w:t xml:space="preserve">buying </w:t>
      </w:r>
      <w:r w:rsidR="00F373BE">
        <w:t xml:space="preserve">or renting the property to </w:t>
      </w:r>
      <w:r>
        <w:t xml:space="preserve">seek </w:t>
      </w:r>
      <w:r w:rsidR="00F373BE">
        <w:t xml:space="preserve">this information.  </w:t>
      </w:r>
    </w:p>
    <w:p w14:paraId="064BBB09" w14:textId="77777777" w:rsidR="00D255E1" w:rsidRDefault="00D255E1" w:rsidP="00417AA4"/>
    <w:p w14:paraId="219019F9" w14:textId="400DFEED" w:rsidR="00B5007B" w:rsidRDefault="00330552" w:rsidP="00417AA4">
      <w:r>
        <w:t>As with the current exempt sellers guideline</w:t>
      </w:r>
      <w:r w:rsidR="004976D1">
        <w:t>,</w:t>
      </w:r>
      <w:r>
        <w:rPr>
          <w:rStyle w:val="FootnoteReference"/>
        </w:rPr>
        <w:footnoteReference w:id="18"/>
      </w:r>
      <w:r>
        <w:t xml:space="preserve"> retrofitting a community or building to a stand</w:t>
      </w:r>
      <w:r w:rsidR="00FD62F6">
        <w:noBreakHyphen/>
      </w:r>
      <w:r>
        <w:t>alone system should require additional levels of information and consultation</w:t>
      </w:r>
      <w:r w:rsidR="00D160EA">
        <w:t xml:space="preserve"> </w:t>
      </w:r>
      <w:r w:rsidR="004976D1">
        <w:t xml:space="preserve">to </w:t>
      </w:r>
      <w:r w:rsidR="00D160EA">
        <w:t xml:space="preserve">demonstrate how </w:t>
      </w:r>
      <w:r w:rsidR="004976D1">
        <w:t xml:space="preserve">the scheme owner </w:t>
      </w:r>
      <w:r w:rsidR="00D160EA">
        <w:t xml:space="preserve">consulted </w:t>
      </w:r>
      <w:r w:rsidR="00D40764">
        <w:t xml:space="preserve">with </w:t>
      </w:r>
      <w:r w:rsidR="004976D1">
        <w:t>property owners and</w:t>
      </w:r>
      <w:r w:rsidR="00D40764">
        <w:t xml:space="preserve"> tenants, </w:t>
      </w:r>
      <w:r>
        <w:t xml:space="preserve">to ensure all residents are able to participate </w:t>
      </w:r>
      <w:r w:rsidR="004976D1">
        <w:t xml:space="preserve">in the decision-making </w:t>
      </w:r>
      <w:r>
        <w:t>and give explicit informed consent.</w:t>
      </w:r>
    </w:p>
    <w:p w14:paraId="0F649C7B" w14:textId="77777777" w:rsidR="0089661A" w:rsidRDefault="0089661A" w:rsidP="00417AA4"/>
    <w:p w14:paraId="73A6462C" w14:textId="73F9B35E" w:rsidR="0089661A" w:rsidRDefault="004976D1" w:rsidP="0089661A">
      <w:r>
        <w:t xml:space="preserve">PIAC recommends that </w:t>
      </w:r>
      <w:r w:rsidR="00D101F8">
        <w:t>d</w:t>
      </w:r>
      <w:r w:rsidR="0089661A">
        <w:t>isconnection and reconnection</w:t>
      </w:r>
      <w:r w:rsidR="00D101F8">
        <w:t xml:space="preserve"> procedures</w:t>
      </w:r>
      <w:r w:rsidR="0089661A">
        <w:t xml:space="preserve"> should be the same as those for authorised retailers </w:t>
      </w:r>
      <w:r w:rsidR="00CB7C13">
        <w:t xml:space="preserve">because, as </w:t>
      </w:r>
      <w:r w:rsidR="0089661A">
        <w:t>outline</w:t>
      </w:r>
      <w:r w:rsidR="00D101F8">
        <w:t>d</w:t>
      </w:r>
      <w:r w:rsidR="0089661A">
        <w:t xml:space="preserve"> above</w:t>
      </w:r>
      <w:r w:rsidR="00CB7C13">
        <w:t>,</w:t>
      </w:r>
      <w:r w:rsidR="0089661A">
        <w:t xml:space="preserve"> these systems are providing the </w:t>
      </w:r>
      <w:r w:rsidR="00EE2D40">
        <w:t xml:space="preserve">sole </w:t>
      </w:r>
      <w:r w:rsidR="0089661A">
        <w:t>energy supply for households. Th</w:t>
      </w:r>
      <w:r w:rsidR="00CB7C13">
        <w:t>is</w:t>
      </w:r>
      <w:r w:rsidR="0089661A">
        <w:t xml:space="preserve"> means that reconnection should occur within two days as specified in the Electricity Supply (General) Regulation 2014.</w:t>
      </w:r>
      <w:r w:rsidR="00D101F8">
        <w:rPr>
          <w:rStyle w:val="FootnoteReference"/>
        </w:rPr>
        <w:footnoteReference w:id="19"/>
      </w:r>
      <w:r w:rsidR="0089661A">
        <w:t xml:space="preserve"> Customer</w:t>
      </w:r>
      <w:r w:rsidR="005D5A16">
        <w:t>s</w:t>
      </w:r>
      <w:r w:rsidR="0089661A">
        <w:t xml:space="preserve"> with medical </w:t>
      </w:r>
      <w:r>
        <w:t xml:space="preserve">conditions </w:t>
      </w:r>
      <w:r w:rsidR="0089661A">
        <w:t xml:space="preserve">should be able to register that with the scheme operator to ensure that in the event of an emergency or routine </w:t>
      </w:r>
      <w:r w:rsidR="00504B68">
        <w:t>maintenance</w:t>
      </w:r>
      <w:r w:rsidR="0089661A">
        <w:t xml:space="preserve"> they are alerted first and offered assistance. </w:t>
      </w:r>
    </w:p>
    <w:p w14:paraId="20EDA0A5" w14:textId="4CDEFA33" w:rsidR="00EB10A4" w:rsidRDefault="00EB10A4" w:rsidP="00F96497"/>
    <w:p w14:paraId="532C5A2A" w14:textId="2951A1E9" w:rsidR="006E476D" w:rsidRDefault="00EB10A4" w:rsidP="00F96497">
      <w:r>
        <w:t xml:space="preserve">Customers of </w:t>
      </w:r>
      <w:r w:rsidR="004976D1">
        <w:t xml:space="preserve">stand-alone </w:t>
      </w:r>
      <w:r>
        <w:t xml:space="preserve">schemes will </w:t>
      </w:r>
      <w:r w:rsidR="004976D1">
        <w:t xml:space="preserve">also </w:t>
      </w:r>
      <w:r>
        <w:t>require access to some form of retailer or</w:t>
      </w:r>
      <w:r w:rsidR="00A06801">
        <w:t xml:space="preserve"> supplier of last resort in the instance that the operator/owner of the scheme becomes insolvent. This will depend on the ownership model</w:t>
      </w:r>
      <w:r w:rsidR="00AB207E">
        <w:t xml:space="preserve">; </w:t>
      </w:r>
      <w:r w:rsidR="00A06801">
        <w:t xml:space="preserve">if it is a network owned scheme then they </w:t>
      </w:r>
      <w:r w:rsidR="004976D1">
        <w:t>is low</w:t>
      </w:r>
      <w:r w:rsidR="00A06801">
        <w:t xml:space="preserve"> risk of insolven</w:t>
      </w:r>
      <w:r w:rsidR="00FD62F6">
        <w:t>cy</w:t>
      </w:r>
      <w:r w:rsidR="00A06801">
        <w:t>. However</w:t>
      </w:r>
      <w:r w:rsidR="00AB207E">
        <w:t>,</w:t>
      </w:r>
      <w:r w:rsidR="00A06801">
        <w:t xml:space="preserve"> for customers of schemes owned by third parties or community co</w:t>
      </w:r>
      <w:r w:rsidR="00FE496C">
        <w:t>operative</w:t>
      </w:r>
      <w:r w:rsidR="00A06801">
        <w:t xml:space="preserve"> schemes</w:t>
      </w:r>
      <w:r w:rsidR="00AB207E">
        <w:t>,</w:t>
      </w:r>
      <w:r w:rsidR="00A06801">
        <w:t xml:space="preserve"> there will need to be </w:t>
      </w:r>
      <w:r w:rsidR="00FD62F6">
        <w:t xml:space="preserve">provision to manage this risk. This </w:t>
      </w:r>
      <w:r w:rsidR="00A06801">
        <w:t xml:space="preserve">will </w:t>
      </w:r>
      <w:r w:rsidR="00FD62F6">
        <w:t xml:space="preserve">possibly </w:t>
      </w:r>
      <w:r w:rsidR="00A06801">
        <w:t>require a form of i</w:t>
      </w:r>
      <w:r w:rsidR="00417AA4">
        <w:t xml:space="preserve">nsurance </w:t>
      </w:r>
      <w:r w:rsidR="00A06801">
        <w:t xml:space="preserve">and a framework for identifying a supplier to step in and continue to supply electricity. </w:t>
      </w:r>
      <w:r w:rsidR="007620BD">
        <w:t xml:space="preserve">If the scheme is a stand-alone system that has some form of connection with the grid, the supplier of last resort </w:t>
      </w:r>
      <w:r w:rsidR="00FD62F6">
        <w:t xml:space="preserve">could </w:t>
      </w:r>
      <w:r w:rsidR="007620BD">
        <w:t xml:space="preserve">be the network, however for those </w:t>
      </w:r>
      <w:r w:rsidR="00BC4422">
        <w:t xml:space="preserve">completely </w:t>
      </w:r>
      <w:r w:rsidR="007620BD">
        <w:t xml:space="preserve">separate from the grid it might not be </w:t>
      </w:r>
      <w:r w:rsidR="00FD62F6">
        <w:t xml:space="preserve">possible </w:t>
      </w:r>
      <w:r w:rsidR="007620BD">
        <w:t xml:space="preserve">for the network to provide this service. </w:t>
      </w:r>
    </w:p>
    <w:p w14:paraId="7CB7D40D" w14:textId="679B7E56" w:rsidR="00EC6D75" w:rsidRDefault="00EC6D75" w:rsidP="00A57558">
      <w:pPr>
        <w:pStyle w:val="Recommendation"/>
      </w:pPr>
      <w:r>
        <w:t xml:space="preserve">Recommendation </w:t>
      </w:r>
      <w:r w:rsidR="00A57558">
        <w:t>11</w:t>
      </w:r>
    </w:p>
    <w:p w14:paraId="1391B5F2" w14:textId="7831DCA8" w:rsidR="00EC6D75" w:rsidRDefault="00EC6D75" w:rsidP="00A57558">
      <w:pPr>
        <w:pStyle w:val="Recommendationtext"/>
      </w:pPr>
      <w:r>
        <w:t xml:space="preserve">PIAC recommends that </w:t>
      </w:r>
      <w:r w:rsidR="000224A6">
        <w:t xml:space="preserve">consumer protections for </w:t>
      </w:r>
      <w:r>
        <w:t xml:space="preserve">customers of </w:t>
      </w:r>
      <w:r w:rsidR="000224A6">
        <w:t xml:space="preserve">stand-alone system should be at or as close as possible to the National </w:t>
      </w:r>
      <w:r w:rsidR="00F74701">
        <w:t>Energy Consumer</w:t>
      </w:r>
      <w:r w:rsidR="000224A6">
        <w:t xml:space="preserve"> Framework protections. </w:t>
      </w:r>
    </w:p>
    <w:p w14:paraId="05442959" w14:textId="534A9391" w:rsidR="000224A6" w:rsidRDefault="000224A6" w:rsidP="00A57558">
      <w:pPr>
        <w:pStyle w:val="Recommendation"/>
      </w:pPr>
      <w:r>
        <w:t xml:space="preserve">Recommendation </w:t>
      </w:r>
      <w:r w:rsidR="00A57558">
        <w:t>12</w:t>
      </w:r>
    </w:p>
    <w:p w14:paraId="379288F0" w14:textId="622F0517" w:rsidR="000224A6" w:rsidRDefault="000224A6" w:rsidP="00A57558">
      <w:pPr>
        <w:pStyle w:val="Recommendationtext"/>
      </w:pPr>
      <w:r>
        <w:t xml:space="preserve">PIAC recommends that tenants and new residents in a community served by a stand-alone system should have access to additional levels of information provision to ensure they are able to give explicit informed consent and make effective decisions. </w:t>
      </w:r>
    </w:p>
    <w:p w14:paraId="0C107F42" w14:textId="6F0BF1D9" w:rsidR="000224A6" w:rsidRDefault="000224A6" w:rsidP="00A57558">
      <w:pPr>
        <w:pStyle w:val="Recommendation"/>
      </w:pPr>
      <w:r>
        <w:t xml:space="preserve">Recommendations </w:t>
      </w:r>
      <w:r w:rsidR="00A57558">
        <w:t>13</w:t>
      </w:r>
    </w:p>
    <w:p w14:paraId="6DA831F1" w14:textId="5EAC84BF" w:rsidR="000224A6" w:rsidRPr="000224A6" w:rsidRDefault="000224A6" w:rsidP="00A57558">
      <w:pPr>
        <w:pStyle w:val="Recommendationtext"/>
      </w:pPr>
      <w:r>
        <w:t xml:space="preserve">PIAC recommends that </w:t>
      </w:r>
      <w:r w:rsidR="00A57558">
        <w:t xml:space="preserve">disconnection and reconnection procedures should be the same as those for an authorised retailer.  </w:t>
      </w:r>
      <w:bookmarkStart w:id="9" w:name="_GoBack"/>
      <w:bookmarkEnd w:id="9"/>
    </w:p>
    <w:bookmarkEnd w:id="2"/>
    <w:p w14:paraId="08E514EB" w14:textId="000C5852" w:rsidR="00C330B2" w:rsidRDefault="001B736A" w:rsidP="00A4765E">
      <w:pPr>
        <w:pStyle w:val="Heading2"/>
      </w:pPr>
      <w:r>
        <w:t xml:space="preserve">Access to external dispute resolution </w:t>
      </w:r>
    </w:p>
    <w:p w14:paraId="416726E4" w14:textId="754E10F9" w:rsidR="00A4765E" w:rsidRDefault="00FD62F6" w:rsidP="00A4765E">
      <w:r w:rsidRPr="00FD62F6">
        <w:t xml:space="preserve">Access to external dispute resolution </w:t>
      </w:r>
      <w:r w:rsidR="00A4765E">
        <w:t>has increasingly become an issue of concern for customers with behind the meter products, embedded networks and for stand-alone systems. A recent report commissioned by the</w:t>
      </w:r>
      <w:r w:rsidR="00F616E1">
        <w:t xml:space="preserve"> ombudsman schemes </w:t>
      </w:r>
      <w:r w:rsidR="00BC4422">
        <w:t xml:space="preserve">of </w:t>
      </w:r>
      <w:r w:rsidR="00F616E1">
        <w:t xml:space="preserve">Victoria, New South Wales and South </w:t>
      </w:r>
      <w:r w:rsidR="00F90ED3">
        <w:t xml:space="preserve">Australia </w:t>
      </w:r>
      <w:r>
        <w:t xml:space="preserve">outlined </w:t>
      </w:r>
      <w:r w:rsidR="00F616E1">
        <w:t>the key issues and potential solutions for ensuring access to external dispute resolution in a changing market.</w:t>
      </w:r>
      <w:r w:rsidR="00F90ED3">
        <w:rPr>
          <w:rStyle w:val="FootnoteReference"/>
        </w:rPr>
        <w:footnoteReference w:id="20"/>
      </w:r>
      <w:r w:rsidR="00F616E1">
        <w:t xml:space="preserve"> PIAC reiterates its support for the jurisdictional energy ombudsman schemes as the </w:t>
      </w:r>
      <w:r w:rsidR="00F90ED3">
        <w:t>most appropriate method f</w:t>
      </w:r>
      <w:r w:rsidR="00740980">
        <w:t xml:space="preserve">or </w:t>
      </w:r>
      <w:r w:rsidR="00BC4422">
        <w:t xml:space="preserve">delivering </w:t>
      </w:r>
      <w:r w:rsidR="00740980">
        <w:t xml:space="preserve">dispute resolution in this </w:t>
      </w:r>
      <w:r>
        <w:t>area</w:t>
      </w:r>
      <w:r w:rsidR="00740980">
        <w:t>.</w:t>
      </w:r>
      <w:r w:rsidR="00807545">
        <w:t xml:space="preserve"> There is support for this </w:t>
      </w:r>
      <w:r>
        <w:t xml:space="preserve">for </w:t>
      </w:r>
      <w:r w:rsidR="00807545">
        <w:t xml:space="preserve">the exempt sellers and this would be an extension of </w:t>
      </w:r>
      <w:r w:rsidR="00AB207E">
        <w:t>those developments</w:t>
      </w:r>
      <w:r w:rsidR="000023F7">
        <w:t xml:space="preserve">. </w:t>
      </w:r>
    </w:p>
    <w:p w14:paraId="7E2EEC07" w14:textId="77777777" w:rsidR="00514E4D" w:rsidRDefault="00514E4D" w:rsidP="00A4765E"/>
    <w:p w14:paraId="29A7B814" w14:textId="65093015" w:rsidR="00514E4D" w:rsidRDefault="00514E4D" w:rsidP="00A4765E">
      <w:r>
        <w:t xml:space="preserve">PIAC recommends that </w:t>
      </w:r>
      <w:r w:rsidR="00FD62F6">
        <w:t xml:space="preserve">the Energy Council </w:t>
      </w:r>
      <w:r>
        <w:t>work closely with the state energy ombudsmen to determine the most appropriate funding mechanism to enable them to provide dispute resolution services to customers of stand-alone systems.</w:t>
      </w:r>
      <w:r w:rsidR="008036B0">
        <w:t xml:space="preserve"> </w:t>
      </w:r>
      <w:r w:rsidR="007B252D">
        <w:t xml:space="preserve">PIAC understands </w:t>
      </w:r>
      <w:r w:rsidR="005C1790">
        <w:t xml:space="preserve">that </w:t>
      </w:r>
      <w:r w:rsidR="007B252D">
        <w:t xml:space="preserve">the </w:t>
      </w:r>
      <w:r w:rsidR="008036B0">
        <w:t>E</w:t>
      </w:r>
      <w:r w:rsidR="00892E0A">
        <w:t>nergy and Water Ombudsman (VIC)</w:t>
      </w:r>
      <w:r>
        <w:t xml:space="preserve"> </w:t>
      </w:r>
      <w:r w:rsidR="00892E0A">
        <w:t>is developing a scalable membership fee and different membership categories to ensure that exempt sellers are able to become members.</w:t>
      </w:r>
      <w:r w:rsidR="006D62B7">
        <w:rPr>
          <w:rStyle w:val="FootnoteReference"/>
        </w:rPr>
        <w:footnoteReference w:id="21"/>
      </w:r>
      <w:r w:rsidR="00892E0A">
        <w:t xml:space="preserve"> This </w:t>
      </w:r>
      <w:r w:rsidR="00846AE5">
        <w:t xml:space="preserve">may </w:t>
      </w:r>
      <w:r w:rsidR="00892E0A">
        <w:t>be an appropriate model to adopt for stand-alone systems that</w:t>
      </w:r>
      <w:r w:rsidR="00DB65EB">
        <w:t xml:space="preserve"> are non-network owned. The obligation to become a member could be a condition of the license that scheme operators or owners are required to have. </w:t>
      </w:r>
    </w:p>
    <w:p w14:paraId="224D9070" w14:textId="08EE1FB3" w:rsidR="00514E4D" w:rsidRDefault="00514E4D" w:rsidP="00514E4D">
      <w:pPr>
        <w:pStyle w:val="Recommendation"/>
      </w:pPr>
      <w:r>
        <w:t xml:space="preserve">Recommendation </w:t>
      </w:r>
      <w:r w:rsidR="00A57558">
        <w:t>14</w:t>
      </w:r>
    </w:p>
    <w:p w14:paraId="5561D04B" w14:textId="20B81F7B" w:rsidR="00BC15E4" w:rsidRDefault="00514E4D" w:rsidP="009E19F0">
      <w:pPr>
        <w:pStyle w:val="Recommendationtext"/>
      </w:pPr>
      <w:r>
        <w:t xml:space="preserve">PIAC recommends that </w:t>
      </w:r>
      <w:r w:rsidR="0074100B">
        <w:t>t</w:t>
      </w:r>
      <w:r w:rsidR="00FD62F6">
        <w:t>he Energy Council</w:t>
      </w:r>
      <w:r>
        <w:t xml:space="preserve"> works with state energy ombudsman to determine an appropriate funding framework </w:t>
      </w:r>
      <w:r w:rsidR="00913937">
        <w:t xml:space="preserve">to enable them to provide dispute resolution services in stand-alone systems. </w:t>
      </w:r>
    </w:p>
    <w:p w14:paraId="25D3FBD1" w14:textId="45E8581E" w:rsidR="00E84358" w:rsidRDefault="005220AE" w:rsidP="005220AE">
      <w:pPr>
        <w:pStyle w:val="Heading2"/>
      </w:pPr>
      <w:r>
        <w:t>Conclusion</w:t>
      </w:r>
    </w:p>
    <w:p w14:paraId="7E37B02B" w14:textId="6FD7E0DD" w:rsidR="00D77880" w:rsidRPr="005220AE" w:rsidRDefault="005220AE" w:rsidP="005220AE">
      <w:r>
        <w:t>PIAC welcomes the opportunity to be invol</w:t>
      </w:r>
      <w:r w:rsidR="00305D4B">
        <w:t>ved in this timely conversation</w:t>
      </w:r>
      <w:r>
        <w:t xml:space="preserve"> about the future of the grid and ensuring consumers benefit from all forms of energy supply. </w:t>
      </w:r>
      <w:r w:rsidR="00CE368A">
        <w:t xml:space="preserve">PIAC believes the complexity of these </w:t>
      </w:r>
      <w:r w:rsidR="00B71E4B">
        <w:t>schemes</w:t>
      </w:r>
      <w:r w:rsidR="00CE368A">
        <w:t xml:space="preserve"> requires a more in depth </w:t>
      </w:r>
      <w:r w:rsidR="00B71E4B">
        <w:t>consultation process</w:t>
      </w:r>
      <w:r w:rsidR="003A01E8">
        <w:t>,</w:t>
      </w:r>
      <w:r w:rsidR="00B71E4B">
        <w:t xml:space="preserve"> including</w:t>
      </w:r>
      <w:r w:rsidR="00305D4B">
        <w:t xml:space="preserve"> working groups, forums and </w:t>
      </w:r>
      <w:r w:rsidR="003A01E8">
        <w:t xml:space="preserve">a further </w:t>
      </w:r>
      <w:r w:rsidR="00305D4B">
        <w:t xml:space="preserve">issues </w:t>
      </w:r>
      <w:r w:rsidR="00937C21">
        <w:t>paper</w:t>
      </w:r>
      <w:r w:rsidR="00E55B90">
        <w:t xml:space="preserve">. We </w:t>
      </w:r>
      <w:r w:rsidR="00FD62F6">
        <w:t xml:space="preserve">recommend </w:t>
      </w:r>
      <w:r w:rsidR="00E55B90">
        <w:t xml:space="preserve">that the </w:t>
      </w:r>
      <w:r w:rsidR="00FD62F6">
        <w:t xml:space="preserve">discussion </w:t>
      </w:r>
      <w:r w:rsidR="00E55B90">
        <w:t xml:space="preserve">paper include </w:t>
      </w:r>
      <w:r w:rsidR="004F3A8E">
        <w:t xml:space="preserve">case studies </w:t>
      </w:r>
      <w:r w:rsidR="00B0132A">
        <w:t>that</w:t>
      </w:r>
      <w:r w:rsidR="003A01E8">
        <w:t xml:space="preserve"> </w:t>
      </w:r>
      <w:r w:rsidR="00305D4B">
        <w:t>demonstrate the current regulatory and legal constraints and possible solutions</w:t>
      </w:r>
      <w:r w:rsidR="003D67CB">
        <w:t>.</w:t>
      </w:r>
      <w:r w:rsidR="004F3A8E">
        <w:t xml:space="preserve"> </w:t>
      </w:r>
      <w:r w:rsidR="00305D4B">
        <w:t xml:space="preserve">Finally, </w:t>
      </w:r>
      <w:r w:rsidR="007E7BF1">
        <w:t xml:space="preserve">we note that, in order for the consultation to be meaningful, it </w:t>
      </w:r>
      <w:r w:rsidR="000C1268">
        <w:t xml:space="preserve">will be </w:t>
      </w:r>
      <w:r w:rsidR="00305D4B">
        <w:t>necessary for consumer advocates to be given</w:t>
      </w:r>
      <w:r w:rsidR="00C60995">
        <w:t xml:space="preserve"> reasonable</w:t>
      </w:r>
      <w:r w:rsidR="00305D4B">
        <w:t xml:space="preserve"> time to participate in this process and to bring in external consultants w</w:t>
      </w:r>
      <w:r w:rsidR="00634BC7">
        <w:t>h</w:t>
      </w:r>
      <w:r w:rsidR="00305D4B">
        <w:t xml:space="preserve">ere necessary. </w:t>
      </w:r>
      <w:r w:rsidR="00D77880">
        <w:t xml:space="preserve">PIAC looks forward to working further with </w:t>
      </w:r>
      <w:r w:rsidR="00FE496C">
        <w:t>t</w:t>
      </w:r>
      <w:r w:rsidR="00FD62F6">
        <w:t>he Energy Council</w:t>
      </w:r>
      <w:r w:rsidR="00D77880">
        <w:t xml:space="preserve"> in this important area.</w:t>
      </w:r>
    </w:p>
    <w:p w14:paraId="79297131" w14:textId="77777777" w:rsidR="005220AE" w:rsidRPr="00A4765E" w:rsidRDefault="005220AE" w:rsidP="00A4765E"/>
    <w:sectPr w:rsidR="005220AE" w:rsidRPr="00A4765E">
      <w:headerReference w:type="default" r:id="rId11"/>
      <w:footerReference w:type="even" r:id="rId12"/>
      <w:footerReference w:type="default" r:id="rId13"/>
      <w:pgSz w:w="11901" w:h="16840"/>
      <w:pgMar w:top="1701" w:right="992" w:bottom="1701" w:left="1418" w:header="851" w:footer="822"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B07C9" w14:textId="77777777" w:rsidR="00B82AD1" w:rsidRDefault="00B82AD1">
      <w:r>
        <w:separator/>
      </w:r>
    </w:p>
  </w:endnote>
  <w:endnote w:type="continuationSeparator" w:id="0">
    <w:p w14:paraId="78266C07" w14:textId="77777777" w:rsidR="00B82AD1" w:rsidRDefault="00B8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yriad Pro Light">
    <w:altName w:val="Helvetica Neue Bold Condensed"/>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805AC" w14:textId="77777777" w:rsidR="00B82AD1" w:rsidRDefault="00B82AD1">
    <w:pPr>
      <w:pStyle w:val="Footer"/>
    </w:pPr>
    <w:r>
      <w:rPr>
        <w:noProof/>
        <w:lang w:val="en-US"/>
      </w:rPr>
      <mc:AlternateContent>
        <mc:Choice Requires="wps">
          <w:drawing>
            <wp:anchor distT="0" distB="0" distL="114300" distR="114300" simplePos="0" relativeHeight="251657728" behindDoc="0" locked="0" layoutInCell="1" allowOverlap="0" wp14:anchorId="125A4A30" wp14:editId="2CDCE124">
              <wp:simplePos x="0" y="0"/>
              <wp:positionH relativeFrom="column">
                <wp:posOffset>-163195</wp:posOffset>
              </wp:positionH>
              <wp:positionV relativeFrom="page">
                <wp:posOffset>9718040</wp:posOffset>
              </wp:positionV>
              <wp:extent cx="411480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D5E91" w14:textId="77777777" w:rsidR="00B82AD1" w:rsidRDefault="00B82AD1" w:rsidP="00521EFA">
                          <w:pPr>
                            <w:rPr>
                              <w:sz w:val="20"/>
                            </w:rPr>
                          </w:pPr>
                          <w:r>
                            <w:rPr>
                              <w:sz w:val="20"/>
                            </w:rPr>
                            <w:t>Level 5, 175 Liverpool Street, Sydney NSW 2000</w:t>
                          </w:r>
                        </w:p>
                        <w:p w14:paraId="79C1D1AA" w14:textId="77777777" w:rsidR="00B82AD1" w:rsidRPr="00EC7B6E" w:rsidRDefault="00B82AD1">
                          <w:pPr>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0" type="#_x0000_t202" style="position:absolute;margin-left:-12.8pt;margin-top:765.2pt;width:32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" o:allowoverlap="f" stroked="f">
              <v:textbox>
                <w:txbxContent>
                  <w:p w14:paraId="581D5E91" w14:textId="77777777" w:rsidR="00FC3E54" w:rsidRDefault="00FC3E54" w:rsidP="00521EFA">
                    <w:pPr>
                      <w:rPr>
                        <w:sz w:val="20"/>
                      </w:rPr>
                    </w:pPr>
                    <w:r>
                      <w:rPr>
                        <w:sz w:val="20"/>
                      </w:rPr>
                      <w:t>Level 5, 175 Liverpool Street, Sydney NSW 2000</w:t>
                    </w:r>
                  </w:p>
                  <w:p w14:paraId="79C1D1AA" w14:textId="77777777" w:rsidR="00FC3E54" w:rsidRPr="00EC7B6E" w:rsidRDefault="00FC3E54">
                    <w:pPr>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v:textbox>
              <w10:wrap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59998" w14:textId="227D35DB" w:rsidR="00B82AD1" w:rsidRPr="00EC7B6E" w:rsidRDefault="00B82AD1">
    <w:pPr>
      <w:pStyle w:val="Footer"/>
      <w:pBdr>
        <w:top w:val="dotted" w:sz="4" w:space="1" w:color="auto"/>
      </w:pBdr>
      <w:spacing w:before="240"/>
      <w:ind w:right="357"/>
      <w:rPr>
        <w:rStyle w:val="PageNumber"/>
      </w:rPr>
    </w:pPr>
    <w:r w:rsidRPr="00EC7B6E">
      <w:rPr>
        <w:rStyle w:val="PageNumber"/>
      </w:rPr>
      <w:fldChar w:fldCharType="begin"/>
    </w:r>
    <w:r w:rsidRPr="00EC7B6E">
      <w:rPr>
        <w:rStyle w:val="PageNumber"/>
      </w:rPr>
      <w:instrText xml:space="preserve"> PAGE </w:instrText>
    </w:r>
    <w:r w:rsidRPr="00EC7B6E">
      <w:rPr>
        <w:rStyle w:val="PageNumber"/>
      </w:rPr>
      <w:fldChar w:fldCharType="separate"/>
    </w:r>
    <w:r w:rsidR="00C6066F">
      <w:rPr>
        <w:rStyle w:val="PageNumber"/>
        <w:noProof/>
      </w:rPr>
      <w:t>10</w:t>
    </w:r>
    <w:r w:rsidRPr="00EC7B6E">
      <w:rPr>
        <w:rStyle w:val="PageNumber"/>
      </w:rPr>
      <w:fldChar w:fldCharType="end"/>
    </w:r>
    <w:r w:rsidRPr="00EC7B6E">
      <w:rPr>
        <w:rStyle w:val="PageNumber"/>
      </w:rPr>
      <w:t xml:space="preserve"> • Public Interest Advocacy Centre • </w:t>
    </w:r>
    <w:r w:rsidRPr="00230678">
      <w:rPr>
        <w:sz w:val="20"/>
      </w:rPr>
      <w:t>Regulation of the energy wild west</w:t>
    </w:r>
    <w:r w:rsidRPr="00230678" w:rsidDel="00230678">
      <w:rPr>
        <w:sz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C6483" w14:textId="17E9558D" w:rsidR="00B82AD1" w:rsidRDefault="00B82AD1">
    <w:pPr>
      <w:pStyle w:val="Footer"/>
      <w:pBdr>
        <w:top w:val="dotted" w:sz="4" w:space="1" w:color="auto"/>
      </w:pBdr>
      <w:spacing w:before="240"/>
      <w:ind w:right="-29"/>
      <w:jc w:val="right"/>
      <w:rPr>
        <w:sz w:val="20"/>
      </w:rPr>
    </w:pPr>
    <w:r>
      <w:rPr>
        <w:rStyle w:val="PageNumber"/>
      </w:rPr>
      <w:t xml:space="preserve">Public Interest Advocacy Centre • </w:t>
    </w:r>
    <w:r w:rsidRPr="00230678">
      <w:rPr>
        <w:sz w:val="20"/>
      </w:rPr>
      <w:t>Regulation of the energy wild west</w:t>
    </w:r>
    <w:r w:rsidRPr="00230678" w:rsidDel="00230678">
      <w:rPr>
        <w:sz w:val="20"/>
      </w:rPr>
      <w:t xml:space="preserve"> </w:t>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6066F">
      <w:rPr>
        <w:rStyle w:val="PageNumber"/>
        <w:noProof/>
      </w:rPr>
      <w:t>9</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FACD3" w14:textId="77777777" w:rsidR="00B82AD1" w:rsidRDefault="00B82AD1">
      <w:r>
        <w:separator/>
      </w:r>
    </w:p>
  </w:footnote>
  <w:footnote w:type="continuationSeparator" w:id="0">
    <w:p w14:paraId="74C46726" w14:textId="77777777" w:rsidR="00B82AD1" w:rsidRDefault="00B82AD1">
      <w:r>
        <w:continuationSeparator/>
      </w:r>
    </w:p>
  </w:footnote>
  <w:footnote w:id="1">
    <w:p w14:paraId="38550164" w14:textId="79B71BF9" w:rsidR="00B82AD1" w:rsidRPr="000C0A70" w:rsidRDefault="00B82AD1">
      <w:pPr>
        <w:pStyle w:val="FootnoteText"/>
        <w:rPr>
          <w:lang w:val="en-US"/>
        </w:rPr>
      </w:pPr>
      <w:r>
        <w:rPr>
          <w:rStyle w:val="FootnoteReference"/>
        </w:rPr>
        <w:footnoteRef/>
      </w:r>
      <w:r>
        <w:t xml:space="preserve"> </w:t>
      </w:r>
      <w:r>
        <w:rPr>
          <w:lang w:val="en-US"/>
        </w:rPr>
        <w:tab/>
      </w:r>
      <w:proofErr w:type="gramStart"/>
      <w:r>
        <w:rPr>
          <w:lang w:val="en-US"/>
        </w:rPr>
        <w:t>COAG Energy Council.</w:t>
      </w:r>
      <w:proofErr w:type="gramEnd"/>
      <w:r>
        <w:rPr>
          <w:lang w:val="en-US"/>
        </w:rPr>
        <w:t xml:space="preserve"> </w:t>
      </w:r>
      <w:proofErr w:type="gramStart"/>
      <w:r>
        <w:rPr>
          <w:lang w:val="en-US"/>
        </w:rPr>
        <w:t>Stand-alone energy systems in the Electricity Market.</w:t>
      </w:r>
      <w:proofErr w:type="gramEnd"/>
      <w:r>
        <w:rPr>
          <w:lang w:val="en-US"/>
        </w:rPr>
        <w:t xml:space="preserve"> </w:t>
      </w:r>
      <w:proofErr w:type="gramStart"/>
      <w:r>
        <w:rPr>
          <w:lang w:val="en-US"/>
        </w:rPr>
        <w:t>Consultation on regulatory implications.</w:t>
      </w:r>
      <w:proofErr w:type="gramEnd"/>
      <w:r>
        <w:rPr>
          <w:lang w:val="en-US"/>
        </w:rPr>
        <w:t xml:space="preserve"> </w:t>
      </w:r>
      <w:proofErr w:type="gramStart"/>
      <w:r>
        <w:rPr>
          <w:lang w:val="en-US"/>
        </w:rPr>
        <w:t>Energy Market Transformation Project Team.</w:t>
      </w:r>
      <w:proofErr w:type="gramEnd"/>
      <w:r>
        <w:rPr>
          <w:lang w:val="en-US"/>
        </w:rPr>
        <w:t xml:space="preserve"> </w:t>
      </w:r>
      <w:proofErr w:type="gramStart"/>
      <w:r>
        <w:rPr>
          <w:lang w:val="en-US"/>
        </w:rPr>
        <w:t>19 August 2016, 4.</w:t>
      </w:r>
      <w:proofErr w:type="gramEnd"/>
    </w:p>
  </w:footnote>
  <w:footnote w:id="2">
    <w:p w14:paraId="4CEB1C92" w14:textId="77FA398C" w:rsidR="00B82AD1" w:rsidRPr="001E33A4" w:rsidRDefault="00B82AD1">
      <w:pPr>
        <w:pStyle w:val="FootnoteText"/>
        <w:rPr>
          <w:lang w:val="en-US"/>
        </w:rPr>
      </w:pPr>
      <w:r>
        <w:rPr>
          <w:rStyle w:val="FootnoteReference"/>
        </w:rPr>
        <w:footnoteRef/>
      </w:r>
      <w:r>
        <w:t xml:space="preserve"> </w:t>
      </w:r>
      <w:r>
        <w:rPr>
          <w:lang w:val="en-US"/>
        </w:rPr>
        <w:tab/>
        <w:t>COAG Energy Council Consultation, notes from workshop</w:t>
      </w:r>
    </w:p>
  </w:footnote>
  <w:footnote w:id="3">
    <w:p w14:paraId="62D0371E" w14:textId="7F0F61F4" w:rsidR="00B82AD1" w:rsidRPr="00FC5BD8" w:rsidRDefault="00B82AD1">
      <w:pPr>
        <w:pStyle w:val="FootnoteText"/>
        <w:rPr>
          <w:lang w:val="en-US"/>
        </w:rPr>
      </w:pPr>
      <w:r>
        <w:rPr>
          <w:rStyle w:val="FootnoteReference"/>
        </w:rPr>
        <w:footnoteRef/>
      </w:r>
      <w:r>
        <w:t xml:space="preserve"> </w:t>
      </w:r>
      <w:r>
        <w:rPr>
          <w:lang w:val="en-US"/>
        </w:rPr>
        <w:tab/>
        <w:t xml:space="preserve">ARENA making the case for energy independent suburbs </w:t>
      </w:r>
    </w:p>
  </w:footnote>
  <w:footnote w:id="4">
    <w:p w14:paraId="444EE1ED" w14:textId="160D06B0" w:rsidR="00B82AD1" w:rsidRPr="008E799E" w:rsidRDefault="00B82AD1" w:rsidP="00A61C9C">
      <w:pPr>
        <w:pStyle w:val="FootnoteText"/>
        <w:ind w:left="0" w:firstLine="0"/>
        <w:rPr>
          <w:lang w:val="en-US"/>
        </w:rPr>
      </w:pPr>
      <w:r>
        <w:rPr>
          <w:rStyle w:val="FootnoteReference"/>
        </w:rPr>
        <w:footnoteRef/>
      </w:r>
      <w:r>
        <w:t xml:space="preserve"> </w:t>
      </w:r>
      <w:r>
        <w:rPr>
          <w:lang w:val="en-US"/>
        </w:rPr>
        <w:tab/>
      </w:r>
      <w:proofErr w:type="gramStart"/>
      <w:r>
        <w:rPr>
          <w:lang w:val="en-US"/>
        </w:rPr>
        <w:t xml:space="preserve">Commonwealth, </w:t>
      </w:r>
      <w:r>
        <w:rPr>
          <w:i/>
          <w:lang w:val="en-US"/>
        </w:rPr>
        <w:t xml:space="preserve">Parliamentary Debate, </w:t>
      </w:r>
      <w:r w:rsidRPr="00A61C9C">
        <w:rPr>
          <w:lang w:val="en-US"/>
        </w:rPr>
        <w:t>Senate</w:t>
      </w:r>
      <w:r>
        <w:rPr>
          <w:lang w:val="en-US"/>
        </w:rPr>
        <w:t xml:space="preserve">, 19 September 2011 </w:t>
      </w:r>
      <w:r w:rsidRPr="00F86528">
        <w:rPr>
          <w:lang w:val="en-US"/>
        </w:rPr>
        <w:t>6329</w:t>
      </w:r>
      <w:r>
        <w:rPr>
          <w:lang w:val="en-US"/>
        </w:rPr>
        <w:t>-6333 (Senator Nick Sherry).</w:t>
      </w:r>
      <w:proofErr w:type="gramEnd"/>
      <w:r>
        <w:rPr>
          <w:lang w:val="en-US"/>
        </w:rPr>
        <w:t xml:space="preserve"> </w:t>
      </w:r>
      <w:r w:rsidRPr="00F86528">
        <w:rPr>
          <w:lang w:val="en-US"/>
        </w:rPr>
        <w:t xml:space="preserve"> </w:t>
      </w:r>
    </w:p>
  </w:footnote>
  <w:footnote w:id="5">
    <w:p w14:paraId="3580E2FD" w14:textId="7A12804B" w:rsidR="00B82AD1" w:rsidRPr="00DB2B60" w:rsidRDefault="00B82AD1" w:rsidP="00B7156D">
      <w:pPr>
        <w:pStyle w:val="FootnoteText"/>
        <w:rPr>
          <w:lang w:val="en-US"/>
        </w:rPr>
      </w:pPr>
      <w:r>
        <w:rPr>
          <w:rStyle w:val="FootnoteReference"/>
        </w:rPr>
        <w:footnoteRef/>
      </w:r>
      <w:r>
        <w:t xml:space="preserve"> </w:t>
      </w:r>
      <w:r>
        <w:rPr>
          <w:lang w:val="en-US"/>
        </w:rPr>
        <w:tab/>
      </w:r>
      <w:proofErr w:type="gramStart"/>
      <w:r>
        <w:rPr>
          <w:lang w:val="en-US"/>
        </w:rPr>
        <w:t xml:space="preserve">AER </w:t>
      </w:r>
      <w:r w:rsidRPr="00D00A40">
        <w:rPr>
          <w:i/>
          <w:lang w:val="en-US"/>
        </w:rPr>
        <w:t>Network exemptions</w:t>
      </w:r>
      <w:r w:rsidRPr="00C62D7A">
        <w:rPr>
          <w:lang w:val="en-US"/>
        </w:rPr>
        <w:t xml:space="preserve"> </w:t>
      </w:r>
      <w:r>
        <w:rPr>
          <w:lang w:val="en-US"/>
        </w:rPr>
        <w:t xml:space="preserve">25 October 2016, Australian Energy Regulator, </w:t>
      </w:r>
      <w:r w:rsidRPr="00DB2B60">
        <w:rPr>
          <w:lang w:val="en-US"/>
        </w:rPr>
        <w:t>http://www.aer.gov.au/networks-pipelines/network-exemptions/public-register-of-network-exemptions</w:t>
      </w:r>
      <w:r>
        <w:rPr>
          <w:lang w:val="en-US"/>
        </w:rPr>
        <w:t>.</w:t>
      </w:r>
      <w:proofErr w:type="gramEnd"/>
    </w:p>
  </w:footnote>
  <w:footnote w:id="6">
    <w:p w14:paraId="4FD90608" w14:textId="0F9A21CD" w:rsidR="00B82AD1" w:rsidRPr="003A1D64" w:rsidRDefault="00B82AD1" w:rsidP="003A1D64">
      <w:pPr>
        <w:pStyle w:val="FootnoteText"/>
        <w:rPr>
          <w:lang w:val="en-AU"/>
        </w:rPr>
      </w:pPr>
      <w:r>
        <w:rPr>
          <w:rStyle w:val="FootnoteReference"/>
        </w:rPr>
        <w:footnoteRef/>
      </w:r>
      <w:r>
        <w:t xml:space="preserve"> </w:t>
      </w:r>
      <w:r>
        <w:rPr>
          <w:lang w:val="en-US"/>
        </w:rPr>
        <w:tab/>
      </w:r>
      <w:r w:rsidRPr="00D00A40">
        <w:rPr>
          <w:lang w:val="en-AU"/>
        </w:rPr>
        <w:t xml:space="preserve">Dr Penelope Crossley, </w:t>
      </w:r>
      <w:r w:rsidRPr="00D00A40">
        <w:rPr>
          <w:i/>
          <w:iCs/>
          <w:lang w:val="en-AU"/>
        </w:rPr>
        <w:t xml:space="preserve">Submission on the Energy Storage Registration Consultation Paper, </w:t>
      </w:r>
      <w:r w:rsidRPr="00D00A40">
        <w:rPr>
          <w:lang w:val="en-AU"/>
        </w:rPr>
        <w:t>20 September 2016</w:t>
      </w:r>
      <w:r>
        <w:rPr>
          <w:lang w:val="en-AU"/>
        </w:rPr>
        <w:t>, 5.</w:t>
      </w:r>
    </w:p>
  </w:footnote>
  <w:footnote w:id="7">
    <w:p w14:paraId="737A0B04" w14:textId="22A685E6" w:rsidR="00B82AD1" w:rsidRPr="00A97575" w:rsidRDefault="00B82AD1" w:rsidP="00D00A40">
      <w:pPr>
        <w:pStyle w:val="FootnoteText"/>
        <w:rPr>
          <w:lang w:val="en-US"/>
        </w:rPr>
      </w:pPr>
      <w:r>
        <w:rPr>
          <w:rStyle w:val="FootnoteReference"/>
        </w:rPr>
        <w:footnoteRef/>
      </w:r>
      <w:r>
        <w:t xml:space="preserve"> </w:t>
      </w:r>
      <w:r>
        <w:rPr>
          <w:lang w:val="en-US"/>
        </w:rPr>
        <w:tab/>
        <w:t xml:space="preserve">Benvenuti, J. and Whiteman, C. </w:t>
      </w:r>
      <w:proofErr w:type="gramStart"/>
      <w:r>
        <w:rPr>
          <w:lang w:val="en-US"/>
        </w:rPr>
        <w:t>A report to Energy and Water Ombudsman (Victoria) Energy &amp; Water Ombudsman NSW, Energy and Water Ombudsman (SA).</w:t>
      </w:r>
      <w:proofErr w:type="gramEnd"/>
      <w:r>
        <w:rPr>
          <w:lang w:val="en-US"/>
        </w:rPr>
        <w:t xml:space="preserve"> </w:t>
      </w:r>
      <w:proofErr w:type="gramStart"/>
      <w:r>
        <w:rPr>
          <w:lang w:val="en-US"/>
        </w:rPr>
        <w:t>Consumer access to external dispute resolution in a changing energy market.</w:t>
      </w:r>
      <w:proofErr w:type="gramEnd"/>
      <w:r>
        <w:rPr>
          <w:lang w:val="en-US"/>
        </w:rPr>
        <w:t xml:space="preserve"> June 2016. </w:t>
      </w:r>
    </w:p>
  </w:footnote>
  <w:footnote w:id="8">
    <w:p w14:paraId="40B39FB4" w14:textId="5CD54151" w:rsidR="00B82AD1" w:rsidRPr="00577019" w:rsidRDefault="00B82AD1" w:rsidP="005B4907">
      <w:pPr>
        <w:pStyle w:val="FootnoteText"/>
        <w:rPr>
          <w:lang w:val="en-US"/>
        </w:rPr>
      </w:pPr>
      <w:r>
        <w:rPr>
          <w:rStyle w:val="FootnoteReference"/>
        </w:rPr>
        <w:footnoteRef/>
      </w:r>
      <w:r>
        <w:t xml:space="preserve"> </w:t>
      </w:r>
      <w:r>
        <w:rPr>
          <w:lang w:val="en-US"/>
        </w:rPr>
        <w:tab/>
        <w:t xml:space="preserve">D’Souza J., </w:t>
      </w:r>
      <w:r w:rsidRPr="003A1D64">
        <w:rPr>
          <w:i/>
          <w:lang w:val="en-US"/>
        </w:rPr>
        <w:t>General Exemption Order</w:t>
      </w:r>
      <w:r>
        <w:rPr>
          <w:lang w:val="en-US"/>
        </w:rPr>
        <w:t xml:space="preserve"> Draft Positions Paper, D</w:t>
      </w:r>
      <w:r w:rsidRPr="00D00A40">
        <w:rPr>
          <w:lang w:val="en-US"/>
        </w:rPr>
        <w:t xml:space="preserve">epartment of Environment, Land, Water and Planning </w:t>
      </w:r>
      <w:r>
        <w:rPr>
          <w:lang w:val="en-US"/>
        </w:rPr>
        <w:t>(VIC),  2016, 5 &amp; 9-10.</w:t>
      </w:r>
    </w:p>
  </w:footnote>
  <w:footnote w:id="9">
    <w:p w14:paraId="127F45BC" w14:textId="3B4A7B14" w:rsidR="00B82AD1" w:rsidRPr="0056515F" w:rsidRDefault="00B82AD1" w:rsidP="003D7D59">
      <w:pPr>
        <w:pStyle w:val="FootnoteText"/>
        <w:rPr>
          <w:lang w:val="en-AU"/>
        </w:rPr>
      </w:pPr>
      <w:r>
        <w:rPr>
          <w:rStyle w:val="FootnoteReference"/>
        </w:rPr>
        <w:footnoteRef/>
      </w:r>
      <w:r>
        <w:t xml:space="preserve"> </w:t>
      </w:r>
      <w:r>
        <w:rPr>
          <w:lang w:val="en-US"/>
        </w:rPr>
        <w:tab/>
        <w:t xml:space="preserve">COAG Energy Council, </w:t>
      </w:r>
      <w:r w:rsidRPr="001F1AEC">
        <w:rPr>
          <w:bCs/>
          <w:i/>
          <w:lang w:val="en-AU"/>
        </w:rPr>
        <w:t xml:space="preserve">Energy Storage Registration </w:t>
      </w:r>
      <w:r w:rsidRPr="001F1AEC">
        <w:rPr>
          <w:bCs/>
          <w:lang w:val="en-AU"/>
        </w:rPr>
        <w:t>Consultation Paper</w:t>
      </w:r>
      <w:r>
        <w:rPr>
          <w:b/>
          <w:bCs/>
          <w:lang w:val="en-AU"/>
        </w:rPr>
        <w:t xml:space="preserve">, </w:t>
      </w:r>
      <w:r w:rsidRPr="001F1AEC">
        <w:rPr>
          <w:bCs/>
          <w:lang w:val="en-AU"/>
        </w:rPr>
        <w:t>Energy Market Transformation Team</w:t>
      </w:r>
      <w:r>
        <w:rPr>
          <w:bCs/>
          <w:lang w:val="en-AU"/>
        </w:rPr>
        <w:t>, 19 August 2016.</w:t>
      </w:r>
      <w:r>
        <w:rPr>
          <w:b/>
          <w:bCs/>
          <w:lang w:val="en-AU"/>
        </w:rPr>
        <w:t xml:space="preserve"> </w:t>
      </w:r>
    </w:p>
  </w:footnote>
  <w:footnote w:id="10">
    <w:p w14:paraId="3C318F58" w14:textId="33607932" w:rsidR="00B82AD1" w:rsidRPr="00AD65CF" w:rsidRDefault="00B82AD1">
      <w:pPr>
        <w:pStyle w:val="FootnoteText"/>
        <w:rPr>
          <w:lang w:val="en-US"/>
        </w:rPr>
      </w:pPr>
      <w:r>
        <w:rPr>
          <w:rStyle w:val="FootnoteReference"/>
        </w:rPr>
        <w:footnoteRef/>
      </w:r>
      <w:r>
        <w:t xml:space="preserve"> </w:t>
      </w:r>
      <w:r>
        <w:rPr>
          <w:lang w:val="en-US"/>
        </w:rPr>
        <w:tab/>
        <w:t xml:space="preserve">Crossley see above n </w:t>
      </w:r>
      <w:r>
        <w:rPr>
          <w:lang w:val="en-US"/>
        </w:rPr>
        <w:fldChar w:fldCharType="begin"/>
      </w:r>
      <w:r>
        <w:rPr>
          <w:lang w:val="en-US"/>
        </w:rPr>
        <w:instrText xml:space="preserve"> NOTEREF _Ref336847625 \h </w:instrText>
      </w:r>
      <w:r>
        <w:rPr>
          <w:lang w:val="en-US"/>
        </w:rPr>
      </w:r>
      <w:r>
        <w:rPr>
          <w:lang w:val="en-US"/>
        </w:rPr>
        <w:fldChar w:fldCharType="separate"/>
      </w:r>
      <w:r w:rsidR="00181B0B">
        <w:rPr>
          <w:lang w:val="en-US"/>
        </w:rPr>
        <w:t>6</w:t>
      </w:r>
      <w:r>
        <w:rPr>
          <w:lang w:val="en-US"/>
        </w:rPr>
        <w:fldChar w:fldCharType="end"/>
      </w:r>
      <w:r>
        <w:rPr>
          <w:lang w:val="en-US"/>
        </w:rPr>
        <w:t>, 3.</w:t>
      </w:r>
    </w:p>
  </w:footnote>
  <w:footnote w:id="11">
    <w:p w14:paraId="331435BE" w14:textId="094ED0A3" w:rsidR="00B82AD1" w:rsidRPr="0056515F" w:rsidRDefault="00B82AD1">
      <w:pPr>
        <w:pStyle w:val="FootnoteText"/>
        <w:rPr>
          <w:lang w:val="en-US"/>
        </w:rPr>
      </w:pPr>
      <w:r>
        <w:rPr>
          <w:rStyle w:val="FootnoteReference"/>
        </w:rPr>
        <w:footnoteRef/>
      </w:r>
      <w:r>
        <w:t xml:space="preserve"> </w:t>
      </w:r>
      <w:r>
        <w:rPr>
          <w:lang w:val="en-US"/>
        </w:rPr>
        <w:tab/>
        <w:t xml:space="preserve">COAG EC see above no </w:t>
      </w:r>
      <w:r>
        <w:rPr>
          <w:lang w:val="en-US"/>
        </w:rPr>
        <w:fldChar w:fldCharType="begin"/>
      </w:r>
      <w:r>
        <w:rPr>
          <w:lang w:val="en-US"/>
        </w:rPr>
        <w:instrText xml:space="preserve"> NOTEREF _Ref336849168 \h </w:instrText>
      </w:r>
      <w:r>
        <w:rPr>
          <w:lang w:val="en-US"/>
        </w:rPr>
      </w:r>
      <w:r>
        <w:rPr>
          <w:lang w:val="en-US"/>
        </w:rPr>
        <w:fldChar w:fldCharType="separate"/>
      </w:r>
      <w:r w:rsidR="00181B0B">
        <w:rPr>
          <w:lang w:val="en-US"/>
        </w:rPr>
        <w:t>1</w:t>
      </w:r>
      <w:r>
        <w:rPr>
          <w:lang w:val="en-US"/>
        </w:rPr>
        <w:fldChar w:fldCharType="end"/>
      </w:r>
      <w:r>
        <w:rPr>
          <w:lang w:val="en-US"/>
        </w:rPr>
        <w:t>, 10.</w:t>
      </w:r>
    </w:p>
  </w:footnote>
  <w:footnote w:id="12">
    <w:p w14:paraId="1EB9A2C4" w14:textId="7799490A" w:rsidR="00B82AD1" w:rsidRPr="003A1D64" w:rsidRDefault="00B82AD1" w:rsidP="00BB4597">
      <w:pPr>
        <w:pStyle w:val="FootnoteText"/>
        <w:rPr>
          <w:lang w:val="en-AU"/>
        </w:rPr>
      </w:pPr>
      <w:r>
        <w:rPr>
          <w:rStyle w:val="FootnoteReference"/>
        </w:rPr>
        <w:footnoteRef/>
      </w:r>
      <w:r>
        <w:t xml:space="preserve"> </w:t>
      </w:r>
      <w:r>
        <w:rPr>
          <w:lang w:val="en-US"/>
        </w:rPr>
        <w:tab/>
        <w:t xml:space="preserve">PIAC. </w:t>
      </w:r>
      <w:r w:rsidRPr="00540E88">
        <w:rPr>
          <w:i/>
          <w:lang w:val="en-US"/>
        </w:rPr>
        <w:t>Beauty and the beast: consumer protections in a complex world</w:t>
      </w:r>
      <w:r>
        <w:rPr>
          <w:i/>
          <w:lang w:val="en-US"/>
        </w:rPr>
        <w:t xml:space="preserve"> behind the meter systems</w:t>
      </w:r>
      <w:r>
        <w:rPr>
          <w:lang w:val="en-US"/>
        </w:rPr>
        <w:t xml:space="preserve">, Submission to COAG Energy Council Consumer Protections </w:t>
      </w:r>
      <w:r w:rsidRPr="00BB4597">
        <w:rPr>
          <w:lang w:val="en-AU"/>
        </w:rPr>
        <w:t>for Behind the Meter electricity supply Consulta</w:t>
      </w:r>
      <w:r>
        <w:rPr>
          <w:lang w:val="en-AU"/>
        </w:rPr>
        <w:t xml:space="preserve">tion on regulatory implications, </w:t>
      </w:r>
      <w:r>
        <w:rPr>
          <w:lang w:val="en-US"/>
        </w:rPr>
        <w:t>Consultation Paper, 2016.</w:t>
      </w:r>
    </w:p>
  </w:footnote>
  <w:footnote w:id="13">
    <w:p w14:paraId="7EC23B32" w14:textId="7656841C" w:rsidR="00B82AD1" w:rsidRPr="00516817" w:rsidRDefault="00B82AD1" w:rsidP="00516817">
      <w:pPr>
        <w:pStyle w:val="FootnoteText"/>
        <w:rPr>
          <w:lang w:val="en-US"/>
        </w:rPr>
      </w:pPr>
      <w:r>
        <w:rPr>
          <w:rStyle w:val="FootnoteReference"/>
        </w:rPr>
        <w:footnoteRef/>
      </w:r>
      <w:r>
        <w:t xml:space="preserve"> </w:t>
      </w:r>
      <w:r>
        <w:rPr>
          <w:lang w:val="en-US"/>
        </w:rPr>
        <w:tab/>
      </w:r>
      <w:proofErr w:type="spellStart"/>
      <w:r>
        <w:rPr>
          <w:lang w:val="en-US"/>
        </w:rPr>
        <w:t>Energeia</w:t>
      </w:r>
      <w:proofErr w:type="spellEnd"/>
      <w:r>
        <w:rPr>
          <w:lang w:val="en-US"/>
        </w:rPr>
        <w:t xml:space="preserve">, </w:t>
      </w:r>
      <w:r w:rsidRPr="00516817">
        <w:rPr>
          <w:i/>
          <w:lang w:val="en-US"/>
        </w:rPr>
        <w:t xml:space="preserve">Unlocking Value for Customers: Enabling New Services, Better Incentives, </w:t>
      </w:r>
      <w:proofErr w:type="gramStart"/>
      <w:r w:rsidRPr="00516817">
        <w:rPr>
          <w:i/>
          <w:lang w:val="en-US"/>
        </w:rPr>
        <w:t>Fairer</w:t>
      </w:r>
      <w:proofErr w:type="gramEnd"/>
      <w:r w:rsidRPr="00516817">
        <w:rPr>
          <w:i/>
          <w:lang w:val="en-US"/>
        </w:rPr>
        <w:t xml:space="preserve"> Rewards</w:t>
      </w:r>
      <w:r>
        <w:rPr>
          <w:lang w:val="en-US"/>
        </w:rPr>
        <w:t>. Report for ENA and CSIRO, Electricity Network Transformation Roadmap, October 2016, 3.</w:t>
      </w:r>
    </w:p>
  </w:footnote>
  <w:footnote w:id="14">
    <w:p w14:paraId="668441CA" w14:textId="345B97FF" w:rsidR="00B82AD1" w:rsidRPr="006A4D86" w:rsidRDefault="00B82AD1">
      <w:pPr>
        <w:pStyle w:val="FootnoteText"/>
        <w:rPr>
          <w:lang w:val="en-US"/>
        </w:rPr>
      </w:pPr>
      <w:r>
        <w:rPr>
          <w:rStyle w:val="FootnoteReference"/>
        </w:rPr>
        <w:footnoteRef/>
      </w:r>
      <w:r>
        <w:t xml:space="preserve"> </w:t>
      </w:r>
      <w:r>
        <w:rPr>
          <w:lang w:val="en-US"/>
        </w:rPr>
        <w:tab/>
        <w:t xml:space="preserve">AER, </w:t>
      </w:r>
      <w:r w:rsidRPr="003A1D64">
        <w:rPr>
          <w:i/>
          <w:lang w:val="en-US"/>
        </w:rPr>
        <w:t>Notice of Final Instrument: AER (Retail) Exempt Selling Guideline Version 4.0</w:t>
      </w:r>
      <w:r>
        <w:rPr>
          <w:lang w:val="en-US"/>
        </w:rPr>
        <w:t xml:space="preserve">, March 2016, 34. </w:t>
      </w:r>
    </w:p>
  </w:footnote>
  <w:footnote w:id="15">
    <w:p w14:paraId="5C667EEC" w14:textId="30B0E96C" w:rsidR="00B82AD1" w:rsidRPr="00521B27" w:rsidRDefault="00B82AD1">
      <w:pPr>
        <w:pStyle w:val="FootnoteText"/>
        <w:rPr>
          <w:lang w:val="en-US"/>
        </w:rPr>
      </w:pPr>
      <w:r>
        <w:rPr>
          <w:rStyle w:val="FootnoteReference"/>
        </w:rPr>
        <w:footnoteRef/>
      </w:r>
      <w:r>
        <w:t xml:space="preserve"> </w:t>
      </w:r>
      <w:r>
        <w:rPr>
          <w:lang w:val="en-US"/>
        </w:rPr>
        <w:tab/>
      </w:r>
      <w:proofErr w:type="gramStart"/>
      <w:r>
        <w:rPr>
          <w:lang w:val="en-US"/>
        </w:rPr>
        <w:t>Ibid, 13-14.</w:t>
      </w:r>
      <w:proofErr w:type="gramEnd"/>
      <w:r>
        <w:rPr>
          <w:lang w:val="en-US"/>
        </w:rPr>
        <w:t xml:space="preserve"> </w:t>
      </w:r>
    </w:p>
  </w:footnote>
  <w:footnote w:id="16">
    <w:p w14:paraId="54084764" w14:textId="6CBD2FF8" w:rsidR="00B82AD1" w:rsidRPr="009F5DFB" w:rsidRDefault="00B82AD1">
      <w:pPr>
        <w:pStyle w:val="FootnoteText"/>
        <w:rPr>
          <w:lang w:val="en-US"/>
        </w:rPr>
      </w:pPr>
      <w:r>
        <w:rPr>
          <w:rStyle w:val="FootnoteReference"/>
        </w:rPr>
        <w:footnoteRef/>
      </w:r>
      <w:r>
        <w:t xml:space="preserve"> </w:t>
      </w:r>
      <w:r>
        <w:rPr>
          <w:lang w:val="en-US"/>
        </w:rPr>
        <w:tab/>
        <w:t xml:space="preserve">Crossley see above no </w:t>
      </w:r>
      <w:r>
        <w:rPr>
          <w:lang w:val="en-US"/>
        </w:rPr>
        <w:fldChar w:fldCharType="begin"/>
      </w:r>
      <w:r>
        <w:rPr>
          <w:lang w:val="en-US"/>
        </w:rPr>
        <w:instrText xml:space="preserve"> NOTEREF _Ref336847625 \h </w:instrText>
      </w:r>
      <w:r>
        <w:rPr>
          <w:lang w:val="en-US"/>
        </w:rPr>
      </w:r>
      <w:r>
        <w:rPr>
          <w:lang w:val="en-US"/>
        </w:rPr>
        <w:fldChar w:fldCharType="separate"/>
      </w:r>
      <w:r w:rsidR="00181B0B">
        <w:rPr>
          <w:lang w:val="en-US"/>
        </w:rPr>
        <w:t>6</w:t>
      </w:r>
      <w:r>
        <w:rPr>
          <w:lang w:val="en-US"/>
        </w:rPr>
        <w:fldChar w:fldCharType="end"/>
      </w:r>
      <w:r>
        <w:rPr>
          <w:lang w:val="en-US"/>
        </w:rPr>
        <w:t>, 6.</w:t>
      </w:r>
    </w:p>
  </w:footnote>
  <w:footnote w:id="17">
    <w:p w14:paraId="15FB5876" w14:textId="38FEE753" w:rsidR="00B82AD1" w:rsidRPr="00D255E1" w:rsidRDefault="00B82AD1">
      <w:pPr>
        <w:pStyle w:val="FootnoteText"/>
        <w:rPr>
          <w:lang w:val="en-US"/>
        </w:rPr>
      </w:pPr>
      <w:r>
        <w:rPr>
          <w:rStyle w:val="FootnoteReference"/>
        </w:rPr>
        <w:footnoteRef/>
      </w:r>
      <w:r>
        <w:t xml:space="preserve"> </w:t>
      </w:r>
      <w:r>
        <w:rPr>
          <w:lang w:val="en-US"/>
        </w:rPr>
        <w:tab/>
        <w:t xml:space="preserve">PIAC see above no </w:t>
      </w:r>
      <w:r>
        <w:rPr>
          <w:lang w:val="en-US"/>
        </w:rPr>
        <w:fldChar w:fldCharType="begin"/>
      </w:r>
      <w:r>
        <w:rPr>
          <w:lang w:val="en-US"/>
        </w:rPr>
        <w:instrText xml:space="preserve"> NOTEREF _Ref336848268 \h </w:instrText>
      </w:r>
      <w:r>
        <w:rPr>
          <w:lang w:val="en-US"/>
        </w:rPr>
      </w:r>
      <w:r>
        <w:rPr>
          <w:lang w:val="en-US"/>
        </w:rPr>
        <w:fldChar w:fldCharType="separate"/>
      </w:r>
      <w:r w:rsidR="00181B0B">
        <w:rPr>
          <w:lang w:val="en-US"/>
        </w:rPr>
        <w:t>12</w:t>
      </w:r>
      <w:r>
        <w:rPr>
          <w:lang w:val="en-US"/>
        </w:rPr>
        <w:fldChar w:fldCharType="end"/>
      </w:r>
      <w:r>
        <w:rPr>
          <w:lang w:val="en-US"/>
        </w:rPr>
        <w:t xml:space="preserve">. </w:t>
      </w:r>
    </w:p>
  </w:footnote>
  <w:footnote w:id="18">
    <w:p w14:paraId="6E7A6B30" w14:textId="1E79D0EB" w:rsidR="00B82AD1" w:rsidRPr="00330552" w:rsidRDefault="00B82AD1">
      <w:pPr>
        <w:pStyle w:val="FootnoteText"/>
        <w:rPr>
          <w:lang w:val="en-US"/>
        </w:rPr>
      </w:pPr>
      <w:r>
        <w:rPr>
          <w:rStyle w:val="FootnoteReference"/>
        </w:rPr>
        <w:footnoteRef/>
      </w:r>
      <w:r>
        <w:t xml:space="preserve"> </w:t>
      </w:r>
      <w:r>
        <w:rPr>
          <w:lang w:val="en-US"/>
        </w:rPr>
        <w:tab/>
        <w:t xml:space="preserve">AER see above no </w:t>
      </w:r>
      <w:r>
        <w:rPr>
          <w:lang w:val="en-US"/>
        </w:rPr>
        <w:fldChar w:fldCharType="begin"/>
      </w:r>
      <w:r>
        <w:rPr>
          <w:lang w:val="en-US"/>
        </w:rPr>
        <w:instrText xml:space="preserve"> NOTEREF _Ref336848288 \h </w:instrText>
      </w:r>
      <w:r>
        <w:rPr>
          <w:lang w:val="en-US"/>
        </w:rPr>
      </w:r>
      <w:r>
        <w:rPr>
          <w:lang w:val="en-US"/>
        </w:rPr>
        <w:fldChar w:fldCharType="separate"/>
      </w:r>
      <w:r w:rsidR="00181B0B">
        <w:rPr>
          <w:lang w:val="en-US"/>
        </w:rPr>
        <w:t>14</w:t>
      </w:r>
      <w:r>
        <w:rPr>
          <w:lang w:val="en-US"/>
        </w:rPr>
        <w:fldChar w:fldCharType="end"/>
      </w:r>
      <w:r>
        <w:rPr>
          <w:lang w:val="en-US"/>
        </w:rPr>
        <w:t>, 12.</w:t>
      </w:r>
    </w:p>
  </w:footnote>
  <w:footnote w:id="19">
    <w:p w14:paraId="489128A7" w14:textId="147A1C21" w:rsidR="00B82AD1" w:rsidRPr="003A1D64" w:rsidRDefault="00B82AD1" w:rsidP="00D15CF5">
      <w:pPr>
        <w:pStyle w:val="FootnoteText"/>
        <w:rPr>
          <w:lang w:val="en-AU"/>
        </w:rPr>
      </w:pPr>
      <w:r>
        <w:rPr>
          <w:rStyle w:val="FootnoteReference"/>
        </w:rPr>
        <w:footnoteRef/>
      </w:r>
      <w:r>
        <w:t xml:space="preserve"> </w:t>
      </w:r>
      <w:r>
        <w:rPr>
          <w:lang w:val="en-US"/>
        </w:rPr>
        <w:tab/>
      </w:r>
      <w:proofErr w:type="gramStart"/>
      <w:r w:rsidRPr="003A1D64">
        <w:rPr>
          <w:bCs/>
          <w:lang w:val="en-AU"/>
        </w:rPr>
        <w:t>Electricity Supply (General) Regulation 2014</w:t>
      </w:r>
      <w:r w:rsidRPr="00D15CF5">
        <w:rPr>
          <w:b/>
          <w:bCs/>
          <w:lang w:val="en-AU"/>
        </w:rPr>
        <w:t xml:space="preserve"> </w:t>
      </w:r>
      <w:r>
        <w:rPr>
          <w:lang w:val="en-AU"/>
        </w:rPr>
        <w:t xml:space="preserve">under the </w:t>
      </w:r>
      <w:r w:rsidRPr="00D15CF5">
        <w:rPr>
          <w:lang w:val="en-AU"/>
        </w:rPr>
        <w:t xml:space="preserve">Electricity Supply Act 1995 </w:t>
      </w:r>
      <w:r>
        <w:rPr>
          <w:lang w:val="en-AU"/>
        </w:rPr>
        <w:t>(NSW), 8.</w:t>
      </w:r>
      <w:proofErr w:type="gramEnd"/>
    </w:p>
  </w:footnote>
  <w:footnote w:id="20">
    <w:p w14:paraId="4279568E" w14:textId="7CF9D9C9" w:rsidR="00B82AD1" w:rsidRPr="00F90ED3" w:rsidRDefault="00B82AD1">
      <w:pPr>
        <w:pStyle w:val="FootnoteText"/>
        <w:rPr>
          <w:lang w:val="en-US"/>
        </w:rPr>
      </w:pPr>
      <w:r>
        <w:rPr>
          <w:rStyle w:val="FootnoteReference"/>
        </w:rPr>
        <w:footnoteRef/>
      </w:r>
      <w:r>
        <w:t xml:space="preserve"> </w:t>
      </w:r>
      <w:r>
        <w:rPr>
          <w:lang w:val="en-US"/>
        </w:rPr>
        <w:tab/>
        <w:t xml:space="preserve">Benvenuti, and Whiteman see above no </w:t>
      </w:r>
      <w:r>
        <w:rPr>
          <w:lang w:val="en-US"/>
        </w:rPr>
        <w:fldChar w:fldCharType="begin"/>
      </w:r>
      <w:r>
        <w:rPr>
          <w:lang w:val="en-US"/>
        </w:rPr>
        <w:instrText xml:space="preserve"> NOTEREF _Ref336848355 \h </w:instrText>
      </w:r>
      <w:r>
        <w:rPr>
          <w:lang w:val="en-US"/>
        </w:rPr>
      </w:r>
      <w:r>
        <w:rPr>
          <w:lang w:val="en-US"/>
        </w:rPr>
        <w:fldChar w:fldCharType="separate"/>
      </w:r>
      <w:r w:rsidR="00181B0B">
        <w:rPr>
          <w:lang w:val="en-US"/>
        </w:rPr>
        <w:t>7</w:t>
      </w:r>
      <w:r>
        <w:rPr>
          <w:lang w:val="en-US"/>
        </w:rPr>
        <w:fldChar w:fldCharType="end"/>
      </w:r>
      <w:r>
        <w:rPr>
          <w:lang w:val="en-US"/>
        </w:rPr>
        <w:t>.</w:t>
      </w:r>
    </w:p>
  </w:footnote>
  <w:footnote w:id="21">
    <w:p w14:paraId="220DDCE1" w14:textId="1F715308" w:rsidR="00B82AD1" w:rsidRPr="006D62B7" w:rsidRDefault="00B82AD1" w:rsidP="00FD7B4E">
      <w:pPr>
        <w:pStyle w:val="FootnoteText"/>
        <w:rPr>
          <w:lang w:val="en-US"/>
        </w:rPr>
      </w:pPr>
      <w:r>
        <w:rPr>
          <w:rStyle w:val="FootnoteReference"/>
        </w:rPr>
        <w:footnoteRef/>
      </w:r>
      <w:r>
        <w:t xml:space="preserve"> </w:t>
      </w:r>
      <w:r>
        <w:rPr>
          <w:lang w:val="en-US"/>
        </w:rPr>
        <w:tab/>
        <w:t xml:space="preserve">D’Souza see above no </w:t>
      </w:r>
      <w:r>
        <w:rPr>
          <w:lang w:val="en-US"/>
        </w:rPr>
        <w:fldChar w:fldCharType="begin"/>
      </w:r>
      <w:r>
        <w:rPr>
          <w:lang w:val="en-US"/>
        </w:rPr>
        <w:instrText xml:space="preserve"> NOTEREF _Ref336848483 \h </w:instrText>
      </w:r>
      <w:r>
        <w:rPr>
          <w:lang w:val="en-US"/>
        </w:rPr>
      </w:r>
      <w:r>
        <w:rPr>
          <w:lang w:val="en-US"/>
        </w:rPr>
        <w:fldChar w:fldCharType="separate"/>
      </w:r>
      <w:r w:rsidR="00181B0B">
        <w:rPr>
          <w:lang w:val="en-US"/>
        </w:rPr>
        <w:t>8</w:t>
      </w:r>
      <w:r>
        <w:rPr>
          <w:lang w:val="en-US"/>
        </w:rPr>
        <w:fldChar w:fldCharType="end"/>
      </w:r>
      <w:r>
        <w:rPr>
          <w:lang w:val="en-US"/>
        </w:rPr>
        <w:t>, 25.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B7F23" w14:textId="77777777" w:rsidR="00B82AD1" w:rsidRDefault="00B82AD1">
    <w:pPr>
      <w:pStyle w:val="Header"/>
    </w:pPr>
    <w:r>
      <w:rPr>
        <w:noProof/>
        <w:lang w:val="en-US"/>
      </w:rPr>
      <mc:AlternateContent>
        <mc:Choice Requires="wps">
          <w:drawing>
            <wp:anchor distT="0" distB="0" distL="114300" distR="114300" simplePos="0" relativeHeight="251656704" behindDoc="0" locked="0" layoutInCell="1" allowOverlap="0" wp14:anchorId="66BA5612" wp14:editId="1584DD1D">
              <wp:simplePos x="0" y="0"/>
              <wp:positionH relativeFrom="column">
                <wp:posOffset>3984625</wp:posOffset>
              </wp:positionH>
              <wp:positionV relativeFrom="page">
                <wp:posOffset>524510</wp:posOffset>
              </wp:positionV>
              <wp:extent cx="2057400" cy="9611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611995"/>
                      </a:xfrm>
                      <a:prstGeom prst="rect">
                        <a:avLst/>
                      </a:prstGeom>
                      <a:solidFill>
                        <a:srgbClr val="C0C0C0"/>
                      </a:solidFill>
                      <a:ln w="9525">
                        <a:solidFill>
                          <a:srgbClr val="000000">
                            <a:alpha val="30000"/>
                          </a:srgbClr>
                        </a:solidFill>
                        <a:miter lim="800000"/>
                        <a:headEnd/>
                        <a:tailEnd/>
                      </a:ln>
                    </wps:spPr>
                    <wps:txbx>
                      <w:txbxContent>
                        <w:p w14:paraId="4D24AEF6" w14:textId="77777777" w:rsidR="00B82AD1" w:rsidRDefault="00B82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9" type="#_x0000_t202" style="position:absolute;margin-left:313.75pt;margin-top:41.3pt;width:162pt;height:75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" o:allowoverlap="f" fillcolor="silver">
              <v:stroke opacity="19789f"/>
              <v:textbox>
                <w:txbxContent>
                  <w:p w14:paraId="4D24AEF6" w14:textId="77777777" w:rsidR="00FC3E54" w:rsidRDefault="00FC3E54"/>
                </w:txbxContent>
              </v:textbox>
              <w10:wrap anchory="page"/>
            </v:shape>
          </w:pict>
        </mc:Fallback>
      </mc:AlternateContent>
    </w:r>
    <w:r>
      <w:rPr>
        <w:noProof/>
        <w:lang w:val="en-US"/>
      </w:rPr>
      <w:drawing>
        <wp:anchor distT="0" distB="0" distL="114300" distR="114300" simplePos="0" relativeHeight="251658752" behindDoc="0" locked="0" layoutInCell="1" allowOverlap="0" wp14:anchorId="25235C95" wp14:editId="58A378B3">
          <wp:simplePos x="0" y="0"/>
          <wp:positionH relativeFrom="column">
            <wp:posOffset>-209550</wp:posOffset>
          </wp:positionH>
          <wp:positionV relativeFrom="page">
            <wp:posOffset>540385</wp:posOffset>
          </wp:positionV>
          <wp:extent cx="2218055" cy="2684145"/>
          <wp:effectExtent l="0" t="0" r="0" b="8255"/>
          <wp:wrapNone/>
          <wp:docPr id="3" name="Picture 3" descr="PIAC_RGB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C_RGB_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2684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2996E" w14:textId="77777777" w:rsidR="00B82AD1" w:rsidRDefault="00B82A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8232EC"/>
    <w:lvl w:ilvl="0">
      <w:start w:val="1"/>
      <w:numFmt w:val="bullet"/>
      <w:lvlText w:val=""/>
      <w:lvlJc w:val="left"/>
      <w:pPr>
        <w:tabs>
          <w:tab w:val="num" w:pos="360"/>
        </w:tabs>
        <w:ind w:left="360" w:hanging="360"/>
      </w:pPr>
      <w:rPr>
        <w:rFonts w:ascii="Symbol" w:hAnsi="Symbol" w:hint="default"/>
      </w:rPr>
    </w:lvl>
  </w:abstractNum>
  <w:abstractNum w:abstractNumId="1">
    <w:nsid w:val="042B0F7B"/>
    <w:multiLevelType w:val="multilevel"/>
    <w:tmpl w:val="0734B46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0A22595E"/>
    <w:multiLevelType w:val="multilevel"/>
    <w:tmpl w:val="B74085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17641FA4"/>
    <w:multiLevelType w:val="multilevel"/>
    <w:tmpl w:val="56381966"/>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214640A1"/>
    <w:multiLevelType w:val="multilevel"/>
    <w:tmpl w:val="C812EF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34E441D7"/>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7295D35"/>
    <w:multiLevelType w:val="multilevel"/>
    <w:tmpl w:val="F47865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C165F4F"/>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42F15E10"/>
    <w:multiLevelType w:val="hybridMultilevel"/>
    <w:tmpl w:val="35EE7324"/>
    <w:lvl w:ilvl="0" w:tplc="BD0649B4">
      <w:start w:val="1"/>
      <w:numFmt w:val="bullet"/>
      <w:pStyle w:val="BullettedLis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9">
    <w:nsid w:val="57D5582C"/>
    <w:multiLevelType w:val="hybridMultilevel"/>
    <w:tmpl w:val="BA803A20"/>
    <w:lvl w:ilvl="0" w:tplc="B91EA956">
      <w:start w:val="1"/>
      <w:numFmt w:val="decimal"/>
      <w:lvlText w:val="%1."/>
      <w:lvlJc w:val="left"/>
      <w:pPr>
        <w:tabs>
          <w:tab w:val="num" w:pos="425"/>
        </w:tabs>
        <w:ind w:left="425" w:hanging="425"/>
      </w:pPr>
      <w:rPr>
        <w:rFonts w:ascii="Myriad Pro Light" w:hAnsi="Myriad Pro Light"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F40159"/>
    <w:multiLevelType w:val="hybridMultilevel"/>
    <w:tmpl w:val="E806F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0775E9"/>
    <w:multiLevelType w:val="hybridMultilevel"/>
    <w:tmpl w:val="2BAE2618"/>
    <w:lvl w:ilvl="0" w:tplc="F3F805AA">
      <w:start w:val="1"/>
      <w:numFmt w:val="decimal"/>
      <w:pStyle w:val="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0"/>
  </w:num>
  <w:num w:numId="4">
    <w:abstractNumId w:val="2"/>
  </w:num>
  <w:num w:numId="5">
    <w:abstractNumId w:val="4"/>
  </w:num>
  <w:num w:numId="6">
    <w:abstractNumId w:val="7"/>
  </w:num>
  <w:num w:numId="7">
    <w:abstractNumId w:val="5"/>
  </w:num>
  <w:num w:numId="8">
    <w:abstractNumId w:val="6"/>
  </w:num>
  <w:num w:numId="9">
    <w:abstractNumId w:val="1"/>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evenAndOddHeaders/>
  <w:displayHorizontalDrawingGridEvery w:val="0"/>
  <w:displayVerticalDrawingGridEvery w:val="0"/>
  <w:doNotUseMarginsForDrawingGridOrigin/>
  <w:noPunctuationKerning/>
  <w:characterSpacingControl w:val="doNotCompress"/>
  <w:savePreviewPicture/>
  <w:hdrShapeDefaults>
    <o:shapedefaults v:ext="edit" spidmax="2050">
      <o:colormru v:ext="edit" colors="#ab2c0d,#ab2125,#89002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FA"/>
    <w:rsid w:val="000023F7"/>
    <w:rsid w:val="00002702"/>
    <w:rsid w:val="00004157"/>
    <w:rsid w:val="000043CA"/>
    <w:rsid w:val="000224A6"/>
    <w:rsid w:val="00023A40"/>
    <w:rsid w:val="0002418F"/>
    <w:rsid w:val="0002490D"/>
    <w:rsid w:val="00024CA1"/>
    <w:rsid w:val="00027AD6"/>
    <w:rsid w:val="00033225"/>
    <w:rsid w:val="00042320"/>
    <w:rsid w:val="00045E6F"/>
    <w:rsid w:val="00047FBE"/>
    <w:rsid w:val="00055708"/>
    <w:rsid w:val="0006210C"/>
    <w:rsid w:val="0006360F"/>
    <w:rsid w:val="000675B4"/>
    <w:rsid w:val="00070C47"/>
    <w:rsid w:val="000737BF"/>
    <w:rsid w:val="00075C5E"/>
    <w:rsid w:val="00076F10"/>
    <w:rsid w:val="000806E8"/>
    <w:rsid w:val="0008254C"/>
    <w:rsid w:val="00082CAF"/>
    <w:rsid w:val="00083117"/>
    <w:rsid w:val="00087F6E"/>
    <w:rsid w:val="000A598C"/>
    <w:rsid w:val="000B01DF"/>
    <w:rsid w:val="000C0506"/>
    <w:rsid w:val="000C0A70"/>
    <w:rsid w:val="000C1268"/>
    <w:rsid w:val="000D1B08"/>
    <w:rsid w:val="000D525E"/>
    <w:rsid w:val="000E0A3D"/>
    <w:rsid w:val="000E4158"/>
    <w:rsid w:val="000E607F"/>
    <w:rsid w:val="000E6747"/>
    <w:rsid w:val="000F0429"/>
    <w:rsid w:val="000F3508"/>
    <w:rsid w:val="000F728D"/>
    <w:rsid w:val="00103FD8"/>
    <w:rsid w:val="00107A61"/>
    <w:rsid w:val="00123041"/>
    <w:rsid w:val="00125791"/>
    <w:rsid w:val="00126744"/>
    <w:rsid w:val="00132A84"/>
    <w:rsid w:val="001348CC"/>
    <w:rsid w:val="00134A02"/>
    <w:rsid w:val="00135A61"/>
    <w:rsid w:val="00135D41"/>
    <w:rsid w:val="00137925"/>
    <w:rsid w:val="00141596"/>
    <w:rsid w:val="00154D7F"/>
    <w:rsid w:val="00161B29"/>
    <w:rsid w:val="00163372"/>
    <w:rsid w:val="00164B81"/>
    <w:rsid w:val="00167722"/>
    <w:rsid w:val="00174906"/>
    <w:rsid w:val="00181B0B"/>
    <w:rsid w:val="00183A7A"/>
    <w:rsid w:val="0018415B"/>
    <w:rsid w:val="00186D05"/>
    <w:rsid w:val="001909D4"/>
    <w:rsid w:val="0019730A"/>
    <w:rsid w:val="00197E0D"/>
    <w:rsid w:val="001A09F2"/>
    <w:rsid w:val="001A4E87"/>
    <w:rsid w:val="001B414B"/>
    <w:rsid w:val="001B6125"/>
    <w:rsid w:val="001B6E19"/>
    <w:rsid w:val="001B736A"/>
    <w:rsid w:val="001B7A54"/>
    <w:rsid w:val="001C2585"/>
    <w:rsid w:val="001C2F16"/>
    <w:rsid w:val="001C38C0"/>
    <w:rsid w:val="001C5DC1"/>
    <w:rsid w:val="001C697C"/>
    <w:rsid w:val="001C7303"/>
    <w:rsid w:val="001D35EE"/>
    <w:rsid w:val="001D4717"/>
    <w:rsid w:val="001D491D"/>
    <w:rsid w:val="001E33A4"/>
    <w:rsid w:val="001E3F23"/>
    <w:rsid w:val="001E7D74"/>
    <w:rsid w:val="001F08C3"/>
    <w:rsid w:val="001F1AEC"/>
    <w:rsid w:val="001F4877"/>
    <w:rsid w:val="00200367"/>
    <w:rsid w:val="00201593"/>
    <w:rsid w:val="002036FE"/>
    <w:rsid w:val="002076DA"/>
    <w:rsid w:val="00211B94"/>
    <w:rsid w:val="00211D29"/>
    <w:rsid w:val="00214B77"/>
    <w:rsid w:val="00221F48"/>
    <w:rsid w:val="00230678"/>
    <w:rsid w:val="00230FC5"/>
    <w:rsid w:val="00234033"/>
    <w:rsid w:val="00235B6E"/>
    <w:rsid w:val="002415FA"/>
    <w:rsid w:val="00243068"/>
    <w:rsid w:val="002434D4"/>
    <w:rsid w:val="002455F6"/>
    <w:rsid w:val="00251A67"/>
    <w:rsid w:val="00256E7B"/>
    <w:rsid w:val="002622BC"/>
    <w:rsid w:val="00266E37"/>
    <w:rsid w:val="00267B93"/>
    <w:rsid w:val="002734A3"/>
    <w:rsid w:val="0027385A"/>
    <w:rsid w:val="002739AF"/>
    <w:rsid w:val="002810A9"/>
    <w:rsid w:val="002878B8"/>
    <w:rsid w:val="00291BD4"/>
    <w:rsid w:val="00291FCD"/>
    <w:rsid w:val="002921ED"/>
    <w:rsid w:val="002922B1"/>
    <w:rsid w:val="00295906"/>
    <w:rsid w:val="002B0F91"/>
    <w:rsid w:val="002B687E"/>
    <w:rsid w:val="002D3957"/>
    <w:rsid w:val="002D6874"/>
    <w:rsid w:val="002D762D"/>
    <w:rsid w:val="002E3E07"/>
    <w:rsid w:val="002E7DCF"/>
    <w:rsid w:val="002F212E"/>
    <w:rsid w:val="002F445A"/>
    <w:rsid w:val="002F60CD"/>
    <w:rsid w:val="003003E6"/>
    <w:rsid w:val="0030046A"/>
    <w:rsid w:val="00304048"/>
    <w:rsid w:val="00304D62"/>
    <w:rsid w:val="003055CC"/>
    <w:rsid w:val="00305D4B"/>
    <w:rsid w:val="0030740C"/>
    <w:rsid w:val="00320C86"/>
    <w:rsid w:val="00321EFC"/>
    <w:rsid w:val="003228F3"/>
    <w:rsid w:val="003239C6"/>
    <w:rsid w:val="00330552"/>
    <w:rsid w:val="00337D3E"/>
    <w:rsid w:val="00341B23"/>
    <w:rsid w:val="0034202E"/>
    <w:rsid w:val="00343CFA"/>
    <w:rsid w:val="003474AE"/>
    <w:rsid w:val="003547A8"/>
    <w:rsid w:val="00357CC4"/>
    <w:rsid w:val="00360201"/>
    <w:rsid w:val="00361E6D"/>
    <w:rsid w:val="00366668"/>
    <w:rsid w:val="00370F91"/>
    <w:rsid w:val="003769D8"/>
    <w:rsid w:val="00380479"/>
    <w:rsid w:val="00383034"/>
    <w:rsid w:val="00385F64"/>
    <w:rsid w:val="00390CAB"/>
    <w:rsid w:val="00393FED"/>
    <w:rsid w:val="003A01E8"/>
    <w:rsid w:val="003A09FC"/>
    <w:rsid w:val="003A1D08"/>
    <w:rsid w:val="003A1D64"/>
    <w:rsid w:val="003A7DBF"/>
    <w:rsid w:val="003B3E05"/>
    <w:rsid w:val="003B5B96"/>
    <w:rsid w:val="003B78D9"/>
    <w:rsid w:val="003C0066"/>
    <w:rsid w:val="003C1D3A"/>
    <w:rsid w:val="003C5C20"/>
    <w:rsid w:val="003D67CB"/>
    <w:rsid w:val="003D73D2"/>
    <w:rsid w:val="003D7878"/>
    <w:rsid w:val="003D7D4F"/>
    <w:rsid w:val="003D7D59"/>
    <w:rsid w:val="003E1D99"/>
    <w:rsid w:val="003E5E02"/>
    <w:rsid w:val="003E7389"/>
    <w:rsid w:val="003F101C"/>
    <w:rsid w:val="003F13E5"/>
    <w:rsid w:val="00400D8B"/>
    <w:rsid w:val="00401DE8"/>
    <w:rsid w:val="00404B89"/>
    <w:rsid w:val="004064BC"/>
    <w:rsid w:val="0040705E"/>
    <w:rsid w:val="00414862"/>
    <w:rsid w:val="00417432"/>
    <w:rsid w:val="00417AA4"/>
    <w:rsid w:val="00420783"/>
    <w:rsid w:val="004207B7"/>
    <w:rsid w:val="004236C8"/>
    <w:rsid w:val="00423739"/>
    <w:rsid w:val="00432714"/>
    <w:rsid w:val="004330CA"/>
    <w:rsid w:val="00433C4F"/>
    <w:rsid w:val="00436833"/>
    <w:rsid w:val="00440A3D"/>
    <w:rsid w:val="0045060C"/>
    <w:rsid w:val="004565FF"/>
    <w:rsid w:val="00456A27"/>
    <w:rsid w:val="0046592D"/>
    <w:rsid w:val="0046647F"/>
    <w:rsid w:val="00470DDD"/>
    <w:rsid w:val="00476BD3"/>
    <w:rsid w:val="0048257E"/>
    <w:rsid w:val="00486DF4"/>
    <w:rsid w:val="00490D82"/>
    <w:rsid w:val="004976D1"/>
    <w:rsid w:val="004A1FF9"/>
    <w:rsid w:val="004A4A9D"/>
    <w:rsid w:val="004B2991"/>
    <w:rsid w:val="004B38AC"/>
    <w:rsid w:val="004B4501"/>
    <w:rsid w:val="004B66AA"/>
    <w:rsid w:val="004C0616"/>
    <w:rsid w:val="004C4384"/>
    <w:rsid w:val="004C6002"/>
    <w:rsid w:val="004E2083"/>
    <w:rsid w:val="004E2918"/>
    <w:rsid w:val="004F3A8E"/>
    <w:rsid w:val="004F3F7E"/>
    <w:rsid w:val="004F4809"/>
    <w:rsid w:val="004F68F2"/>
    <w:rsid w:val="004F7731"/>
    <w:rsid w:val="00501AB1"/>
    <w:rsid w:val="00504B68"/>
    <w:rsid w:val="00506596"/>
    <w:rsid w:val="00510516"/>
    <w:rsid w:val="00514E4D"/>
    <w:rsid w:val="00516817"/>
    <w:rsid w:val="00517392"/>
    <w:rsid w:val="00517B2D"/>
    <w:rsid w:val="00521B27"/>
    <w:rsid w:val="00521EFA"/>
    <w:rsid w:val="005220AE"/>
    <w:rsid w:val="00523CF6"/>
    <w:rsid w:val="00525AAF"/>
    <w:rsid w:val="00527FF7"/>
    <w:rsid w:val="00532488"/>
    <w:rsid w:val="00540E88"/>
    <w:rsid w:val="005449F8"/>
    <w:rsid w:val="00550596"/>
    <w:rsid w:val="00552D86"/>
    <w:rsid w:val="00553015"/>
    <w:rsid w:val="00553D0A"/>
    <w:rsid w:val="0056237E"/>
    <w:rsid w:val="0056515F"/>
    <w:rsid w:val="00566373"/>
    <w:rsid w:val="00566963"/>
    <w:rsid w:val="005712B0"/>
    <w:rsid w:val="00571A98"/>
    <w:rsid w:val="005723D7"/>
    <w:rsid w:val="00572EEA"/>
    <w:rsid w:val="00577019"/>
    <w:rsid w:val="00580A3A"/>
    <w:rsid w:val="005830FB"/>
    <w:rsid w:val="00583AF4"/>
    <w:rsid w:val="00584536"/>
    <w:rsid w:val="0059067F"/>
    <w:rsid w:val="005945C8"/>
    <w:rsid w:val="005A41A2"/>
    <w:rsid w:val="005B2FFA"/>
    <w:rsid w:val="005B399D"/>
    <w:rsid w:val="005B4907"/>
    <w:rsid w:val="005C1790"/>
    <w:rsid w:val="005C6704"/>
    <w:rsid w:val="005D1B2F"/>
    <w:rsid w:val="005D3C28"/>
    <w:rsid w:val="005D5A16"/>
    <w:rsid w:val="005D5FA5"/>
    <w:rsid w:val="005D6B53"/>
    <w:rsid w:val="005E2E95"/>
    <w:rsid w:val="005F4CA1"/>
    <w:rsid w:val="005F56C8"/>
    <w:rsid w:val="00600E20"/>
    <w:rsid w:val="00602288"/>
    <w:rsid w:val="00607D54"/>
    <w:rsid w:val="00610429"/>
    <w:rsid w:val="0061187A"/>
    <w:rsid w:val="00627CF9"/>
    <w:rsid w:val="006308CD"/>
    <w:rsid w:val="0063196E"/>
    <w:rsid w:val="00634BC7"/>
    <w:rsid w:val="00636213"/>
    <w:rsid w:val="0063656A"/>
    <w:rsid w:val="006461FE"/>
    <w:rsid w:val="00646671"/>
    <w:rsid w:val="00656C7A"/>
    <w:rsid w:val="00657A4F"/>
    <w:rsid w:val="0066252A"/>
    <w:rsid w:val="0067316D"/>
    <w:rsid w:val="006776FC"/>
    <w:rsid w:val="00682F17"/>
    <w:rsid w:val="00684355"/>
    <w:rsid w:val="0069376E"/>
    <w:rsid w:val="006A0493"/>
    <w:rsid w:val="006A1E85"/>
    <w:rsid w:val="006A4D86"/>
    <w:rsid w:val="006A580B"/>
    <w:rsid w:val="006A7143"/>
    <w:rsid w:val="006B343B"/>
    <w:rsid w:val="006B3741"/>
    <w:rsid w:val="006B4FA0"/>
    <w:rsid w:val="006D0F87"/>
    <w:rsid w:val="006D62B7"/>
    <w:rsid w:val="006D6F03"/>
    <w:rsid w:val="006E1758"/>
    <w:rsid w:val="006E18F6"/>
    <w:rsid w:val="006E264B"/>
    <w:rsid w:val="006E476D"/>
    <w:rsid w:val="006E53F6"/>
    <w:rsid w:val="006E5562"/>
    <w:rsid w:val="006E557F"/>
    <w:rsid w:val="006E6528"/>
    <w:rsid w:val="006E735B"/>
    <w:rsid w:val="006F3F7F"/>
    <w:rsid w:val="00700811"/>
    <w:rsid w:val="00705E1E"/>
    <w:rsid w:val="007211D9"/>
    <w:rsid w:val="00727479"/>
    <w:rsid w:val="00727D96"/>
    <w:rsid w:val="00727FF4"/>
    <w:rsid w:val="007318C2"/>
    <w:rsid w:val="00735FDA"/>
    <w:rsid w:val="0073791E"/>
    <w:rsid w:val="00740980"/>
    <w:rsid w:val="0074100B"/>
    <w:rsid w:val="00741CDB"/>
    <w:rsid w:val="00744E2F"/>
    <w:rsid w:val="0074543D"/>
    <w:rsid w:val="00747DFE"/>
    <w:rsid w:val="00752AA7"/>
    <w:rsid w:val="00754EA7"/>
    <w:rsid w:val="007620BD"/>
    <w:rsid w:val="007621A0"/>
    <w:rsid w:val="00764E1F"/>
    <w:rsid w:val="0077198E"/>
    <w:rsid w:val="00773085"/>
    <w:rsid w:val="007731D8"/>
    <w:rsid w:val="007810B1"/>
    <w:rsid w:val="0078219A"/>
    <w:rsid w:val="00785819"/>
    <w:rsid w:val="00785DE9"/>
    <w:rsid w:val="00796B8D"/>
    <w:rsid w:val="007B252D"/>
    <w:rsid w:val="007B53BB"/>
    <w:rsid w:val="007B5735"/>
    <w:rsid w:val="007B76C6"/>
    <w:rsid w:val="007C20E7"/>
    <w:rsid w:val="007C474D"/>
    <w:rsid w:val="007C5777"/>
    <w:rsid w:val="007D4C83"/>
    <w:rsid w:val="007D4E54"/>
    <w:rsid w:val="007D5329"/>
    <w:rsid w:val="007D6FFC"/>
    <w:rsid w:val="007E02F8"/>
    <w:rsid w:val="007E1631"/>
    <w:rsid w:val="007E6B55"/>
    <w:rsid w:val="007E7BF1"/>
    <w:rsid w:val="007F50A7"/>
    <w:rsid w:val="008036B0"/>
    <w:rsid w:val="00806043"/>
    <w:rsid w:val="00807545"/>
    <w:rsid w:val="00811A0D"/>
    <w:rsid w:val="00813789"/>
    <w:rsid w:val="0082256A"/>
    <w:rsid w:val="00822D0F"/>
    <w:rsid w:val="008327CA"/>
    <w:rsid w:val="00835E25"/>
    <w:rsid w:val="00837957"/>
    <w:rsid w:val="00844229"/>
    <w:rsid w:val="008463D7"/>
    <w:rsid w:val="00846AE5"/>
    <w:rsid w:val="0085276B"/>
    <w:rsid w:val="00861193"/>
    <w:rsid w:val="00864DEB"/>
    <w:rsid w:val="0087221F"/>
    <w:rsid w:val="0087376C"/>
    <w:rsid w:val="0087415D"/>
    <w:rsid w:val="00876C3C"/>
    <w:rsid w:val="008779B7"/>
    <w:rsid w:val="008807C6"/>
    <w:rsid w:val="00881D13"/>
    <w:rsid w:val="00882C72"/>
    <w:rsid w:val="008850C1"/>
    <w:rsid w:val="008854EA"/>
    <w:rsid w:val="00886489"/>
    <w:rsid w:val="008865CD"/>
    <w:rsid w:val="00886B3C"/>
    <w:rsid w:val="00892E0A"/>
    <w:rsid w:val="0089661A"/>
    <w:rsid w:val="00896644"/>
    <w:rsid w:val="00896F15"/>
    <w:rsid w:val="008A05D9"/>
    <w:rsid w:val="008A115C"/>
    <w:rsid w:val="008A2315"/>
    <w:rsid w:val="008A444F"/>
    <w:rsid w:val="008A65F2"/>
    <w:rsid w:val="008B166D"/>
    <w:rsid w:val="008B2732"/>
    <w:rsid w:val="008B3AE8"/>
    <w:rsid w:val="008B3F8F"/>
    <w:rsid w:val="008B4811"/>
    <w:rsid w:val="008C500B"/>
    <w:rsid w:val="008D16B2"/>
    <w:rsid w:val="008D2C42"/>
    <w:rsid w:val="008E365F"/>
    <w:rsid w:val="008E5CD1"/>
    <w:rsid w:val="008E799E"/>
    <w:rsid w:val="008F1104"/>
    <w:rsid w:val="008F388C"/>
    <w:rsid w:val="008F3B08"/>
    <w:rsid w:val="00903E23"/>
    <w:rsid w:val="00904609"/>
    <w:rsid w:val="00906224"/>
    <w:rsid w:val="00906EF7"/>
    <w:rsid w:val="00907C9E"/>
    <w:rsid w:val="00913937"/>
    <w:rsid w:val="00920BD6"/>
    <w:rsid w:val="00925246"/>
    <w:rsid w:val="00926506"/>
    <w:rsid w:val="00937C21"/>
    <w:rsid w:val="0094799A"/>
    <w:rsid w:val="00956123"/>
    <w:rsid w:val="00961B2C"/>
    <w:rsid w:val="0096461F"/>
    <w:rsid w:val="009767DB"/>
    <w:rsid w:val="009801CD"/>
    <w:rsid w:val="00980AB4"/>
    <w:rsid w:val="00980BAD"/>
    <w:rsid w:val="00982F23"/>
    <w:rsid w:val="009866D0"/>
    <w:rsid w:val="00996379"/>
    <w:rsid w:val="00997D94"/>
    <w:rsid w:val="009A17AA"/>
    <w:rsid w:val="009A46BA"/>
    <w:rsid w:val="009B79F8"/>
    <w:rsid w:val="009B7E3D"/>
    <w:rsid w:val="009C1962"/>
    <w:rsid w:val="009C446A"/>
    <w:rsid w:val="009C6003"/>
    <w:rsid w:val="009C75D7"/>
    <w:rsid w:val="009D3FB6"/>
    <w:rsid w:val="009D4077"/>
    <w:rsid w:val="009D5AD6"/>
    <w:rsid w:val="009D5E3C"/>
    <w:rsid w:val="009E19F0"/>
    <w:rsid w:val="009E1C4B"/>
    <w:rsid w:val="009E24A3"/>
    <w:rsid w:val="009E24BE"/>
    <w:rsid w:val="009E4949"/>
    <w:rsid w:val="009F5C41"/>
    <w:rsid w:val="009F5DFB"/>
    <w:rsid w:val="00A03AFF"/>
    <w:rsid w:val="00A048EA"/>
    <w:rsid w:val="00A06801"/>
    <w:rsid w:val="00A103C0"/>
    <w:rsid w:val="00A116DC"/>
    <w:rsid w:val="00A12294"/>
    <w:rsid w:val="00A14C8A"/>
    <w:rsid w:val="00A203CC"/>
    <w:rsid w:val="00A22559"/>
    <w:rsid w:val="00A2352C"/>
    <w:rsid w:val="00A24214"/>
    <w:rsid w:val="00A274FC"/>
    <w:rsid w:val="00A3357B"/>
    <w:rsid w:val="00A40C12"/>
    <w:rsid w:val="00A46DAD"/>
    <w:rsid w:val="00A4765E"/>
    <w:rsid w:val="00A537E5"/>
    <w:rsid w:val="00A56E27"/>
    <w:rsid w:val="00A57558"/>
    <w:rsid w:val="00A61C9C"/>
    <w:rsid w:val="00A70DDE"/>
    <w:rsid w:val="00A72CBC"/>
    <w:rsid w:val="00A77299"/>
    <w:rsid w:val="00A77A5B"/>
    <w:rsid w:val="00A8653F"/>
    <w:rsid w:val="00A91A60"/>
    <w:rsid w:val="00A97575"/>
    <w:rsid w:val="00AA29BC"/>
    <w:rsid w:val="00AA5CA0"/>
    <w:rsid w:val="00AA7131"/>
    <w:rsid w:val="00AA733D"/>
    <w:rsid w:val="00AB1CC1"/>
    <w:rsid w:val="00AB207E"/>
    <w:rsid w:val="00AB43FB"/>
    <w:rsid w:val="00AB5AEB"/>
    <w:rsid w:val="00AB6B3F"/>
    <w:rsid w:val="00AC157F"/>
    <w:rsid w:val="00AC57B2"/>
    <w:rsid w:val="00AD0F9A"/>
    <w:rsid w:val="00AD34D1"/>
    <w:rsid w:val="00AD378A"/>
    <w:rsid w:val="00AD50BD"/>
    <w:rsid w:val="00AD6220"/>
    <w:rsid w:val="00AD65CF"/>
    <w:rsid w:val="00AE083C"/>
    <w:rsid w:val="00AE1095"/>
    <w:rsid w:val="00AE2131"/>
    <w:rsid w:val="00AE6697"/>
    <w:rsid w:val="00AE6BBB"/>
    <w:rsid w:val="00AE75E8"/>
    <w:rsid w:val="00AF3B01"/>
    <w:rsid w:val="00B0132A"/>
    <w:rsid w:val="00B1087D"/>
    <w:rsid w:val="00B1215B"/>
    <w:rsid w:val="00B156B9"/>
    <w:rsid w:val="00B170C8"/>
    <w:rsid w:val="00B220F6"/>
    <w:rsid w:val="00B228DE"/>
    <w:rsid w:val="00B26831"/>
    <w:rsid w:val="00B26D75"/>
    <w:rsid w:val="00B27231"/>
    <w:rsid w:val="00B35782"/>
    <w:rsid w:val="00B4220F"/>
    <w:rsid w:val="00B5004F"/>
    <w:rsid w:val="00B5007B"/>
    <w:rsid w:val="00B54EF9"/>
    <w:rsid w:val="00B5517F"/>
    <w:rsid w:val="00B62828"/>
    <w:rsid w:val="00B648DF"/>
    <w:rsid w:val="00B70770"/>
    <w:rsid w:val="00B7156D"/>
    <w:rsid w:val="00B71E4B"/>
    <w:rsid w:val="00B72A89"/>
    <w:rsid w:val="00B7353C"/>
    <w:rsid w:val="00B76B1D"/>
    <w:rsid w:val="00B81656"/>
    <w:rsid w:val="00B82AD1"/>
    <w:rsid w:val="00B82DFB"/>
    <w:rsid w:val="00B83778"/>
    <w:rsid w:val="00B875D3"/>
    <w:rsid w:val="00B930D4"/>
    <w:rsid w:val="00B94D04"/>
    <w:rsid w:val="00BA2812"/>
    <w:rsid w:val="00BA76D0"/>
    <w:rsid w:val="00BB21CF"/>
    <w:rsid w:val="00BB4597"/>
    <w:rsid w:val="00BB66AB"/>
    <w:rsid w:val="00BB6E1F"/>
    <w:rsid w:val="00BC15E4"/>
    <w:rsid w:val="00BC4422"/>
    <w:rsid w:val="00BD04A1"/>
    <w:rsid w:val="00BD07AF"/>
    <w:rsid w:val="00BD5D6E"/>
    <w:rsid w:val="00BE2308"/>
    <w:rsid w:val="00BE52B5"/>
    <w:rsid w:val="00BF2072"/>
    <w:rsid w:val="00BF673B"/>
    <w:rsid w:val="00BF683C"/>
    <w:rsid w:val="00C01C16"/>
    <w:rsid w:val="00C06053"/>
    <w:rsid w:val="00C15077"/>
    <w:rsid w:val="00C20A36"/>
    <w:rsid w:val="00C2132E"/>
    <w:rsid w:val="00C330B2"/>
    <w:rsid w:val="00C43D2A"/>
    <w:rsid w:val="00C44D3A"/>
    <w:rsid w:val="00C51664"/>
    <w:rsid w:val="00C6066F"/>
    <w:rsid w:val="00C60995"/>
    <w:rsid w:val="00C60BE1"/>
    <w:rsid w:val="00C616B4"/>
    <w:rsid w:val="00C62D7A"/>
    <w:rsid w:val="00C63746"/>
    <w:rsid w:val="00C75F6F"/>
    <w:rsid w:val="00C80178"/>
    <w:rsid w:val="00C81645"/>
    <w:rsid w:val="00C8507E"/>
    <w:rsid w:val="00C86456"/>
    <w:rsid w:val="00C873CB"/>
    <w:rsid w:val="00C929A3"/>
    <w:rsid w:val="00C930DA"/>
    <w:rsid w:val="00C939AD"/>
    <w:rsid w:val="00C95AD1"/>
    <w:rsid w:val="00CA776E"/>
    <w:rsid w:val="00CB06CE"/>
    <w:rsid w:val="00CB0A94"/>
    <w:rsid w:val="00CB7C13"/>
    <w:rsid w:val="00CC570C"/>
    <w:rsid w:val="00CD204D"/>
    <w:rsid w:val="00CD5C29"/>
    <w:rsid w:val="00CD7091"/>
    <w:rsid w:val="00CD70C3"/>
    <w:rsid w:val="00CE0145"/>
    <w:rsid w:val="00CE368A"/>
    <w:rsid w:val="00CE3D8B"/>
    <w:rsid w:val="00CF104A"/>
    <w:rsid w:val="00CF4401"/>
    <w:rsid w:val="00CF54FA"/>
    <w:rsid w:val="00D00A40"/>
    <w:rsid w:val="00D03B45"/>
    <w:rsid w:val="00D064E3"/>
    <w:rsid w:val="00D101F8"/>
    <w:rsid w:val="00D136F7"/>
    <w:rsid w:val="00D143A6"/>
    <w:rsid w:val="00D1493E"/>
    <w:rsid w:val="00D14CC2"/>
    <w:rsid w:val="00D15CF5"/>
    <w:rsid w:val="00D160EA"/>
    <w:rsid w:val="00D1727A"/>
    <w:rsid w:val="00D21535"/>
    <w:rsid w:val="00D255E1"/>
    <w:rsid w:val="00D34FC8"/>
    <w:rsid w:val="00D37907"/>
    <w:rsid w:val="00D37CBA"/>
    <w:rsid w:val="00D40764"/>
    <w:rsid w:val="00D41C08"/>
    <w:rsid w:val="00D445C2"/>
    <w:rsid w:val="00D44DC2"/>
    <w:rsid w:val="00D44E59"/>
    <w:rsid w:val="00D46DC3"/>
    <w:rsid w:val="00D52DD6"/>
    <w:rsid w:val="00D57763"/>
    <w:rsid w:val="00D60AE9"/>
    <w:rsid w:val="00D66325"/>
    <w:rsid w:val="00D67DFB"/>
    <w:rsid w:val="00D71F6D"/>
    <w:rsid w:val="00D77880"/>
    <w:rsid w:val="00D8585A"/>
    <w:rsid w:val="00D925CD"/>
    <w:rsid w:val="00D942C8"/>
    <w:rsid w:val="00D95716"/>
    <w:rsid w:val="00D963ED"/>
    <w:rsid w:val="00DA5359"/>
    <w:rsid w:val="00DB0A19"/>
    <w:rsid w:val="00DB29D9"/>
    <w:rsid w:val="00DB2B60"/>
    <w:rsid w:val="00DB5030"/>
    <w:rsid w:val="00DB65EB"/>
    <w:rsid w:val="00DD1C5C"/>
    <w:rsid w:val="00DD2C55"/>
    <w:rsid w:val="00DD34FC"/>
    <w:rsid w:val="00DE41A4"/>
    <w:rsid w:val="00DF116A"/>
    <w:rsid w:val="00DF1C4B"/>
    <w:rsid w:val="00DF6AF8"/>
    <w:rsid w:val="00DF6C48"/>
    <w:rsid w:val="00DF7D1D"/>
    <w:rsid w:val="00E03EAB"/>
    <w:rsid w:val="00E12227"/>
    <w:rsid w:val="00E16D8B"/>
    <w:rsid w:val="00E23F1F"/>
    <w:rsid w:val="00E267AB"/>
    <w:rsid w:val="00E33E2F"/>
    <w:rsid w:val="00E3402F"/>
    <w:rsid w:val="00E40C4E"/>
    <w:rsid w:val="00E423BC"/>
    <w:rsid w:val="00E55B90"/>
    <w:rsid w:val="00E562D9"/>
    <w:rsid w:val="00E70924"/>
    <w:rsid w:val="00E709DB"/>
    <w:rsid w:val="00E73FB4"/>
    <w:rsid w:val="00E74BD1"/>
    <w:rsid w:val="00E76E05"/>
    <w:rsid w:val="00E76FBB"/>
    <w:rsid w:val="00E826F3"/>
    <w:rsid w:val="00E84358"/>
    <w:rsid w:val="00E87BD3"/>
    <w:rsid w:val="00E90213"/>
    <w:rsid w:val="00E920A1"/>
    <w:rsid w:val="00E946B5"/>
    <w:rsid w:val="00EA2F92"/>
    <w:rsid w:val="00EA559C"/>
    <w:rsid w:val="00EB0ACA"/>
    <w:rsid w:val="00EB10A4"/>
    <w:rsid w:val="00EB74AF"/>
    <w:rsid w:val="00EC3B21"/>
    <w:rsid w:val="00EC65D6"/>
    <w:rsid w:val="00EC69B4"/>
    <w:rsid w:val="00EC6D75"/>
    <w:rsid w:val="00ED007C"/>
    <w:rsid w:val="00ED2684"/>
    <w:rsid w:val="00EE039B"/>
    <w:rsid w:val="00EE14D4"/>
    <w:rsid w:val="00EE2D40"/>
    <w:rsid w:val="00EE4566"/>
    <w:rsid w:val="00EE6250"/>
    <w:rsid w:val="00EE768E"/>
    <w:rsid w:val="00F03766"/>
    <w:rsid w:val="00F0384B"/>
    <w:rsid w:val="00F06489"/>
    <w:rsid w:val="00F071D6"/>
    <w:rsid w:val="00F158D9"/>
    <w:rsid w:val="00F176AD"/>
    <w:rsid w:val="00F20851"/>
    <w:rsid w:val="00F257AE"/>
    <w:rsid w:val="00F33C2D"/>
    <w:rsid w:val="00F36108"/>
    <w:rsid w:val="00F373BE"/>
    <w:rsid w:val="00F424C8"/>
    <w:rsid w:val="00F430B7"/>
    <w:rsid w:val="00F47A98"/>
    <w:rsid w:val="00F47EFA"/>
    <w:rsid w:val="00F51E27"/>
    <w:rsid w:val="00F555F7"/>
    <w:rsid w:val="00F616E1"/>
    <w:rsid w:val="00F64522"/>
    <w:rsid w:val="00F707E2"/>
    <w:rsid w:val="00F74701"/>
    <w:rsid w:val="00F756E7"/>
    <w:rsid w:val="00F76F77"/>
    <w:rsid w:val="00F84D4A"/>
    <w:rsid w:val="00F86113"/>
    <w:rsid w:val="00F86528"/>
    <w:rsid w:val="00F90ED3"/>
    <w:rsid w:val="00F94C3A"/>
    <w:rsid w:val="00F96497"/>
    <w:rsid w:val="00FA0745"/>
    <w:rsid w:val="00FA57B4"/>
    <w:rsid w:val="00FA73A0"/>
    <w:rsid w:val="00FA7781"/>
    <w:rsid w:val="00FA77AD"/>
    <w:rsid w:val="00FB2120"/>
    <w:rsid w:val="00FB3A76"/>
    <w:rsid w:val="00FC3E54"/>
    <w:rsid w:val="00FC5BD8"/>
    <w:rsid w:val="00FC7F0D"/>
    <w:rsid w:val="00FD62F6"/>
    <w:rsid w:val="00FD7B4E"/>
    <w:rsid w:val="00FE1689"/>
    <w:rsid w:val="00FE1BCC"/>
    <w:rsid w:val="00FE496C"/>
    <w:rsid w:val="00FF00DB"/>
    <w:rsid w:val="00FF05BA"/>
    <w:rsid w:val="00FF0EE7"/>
    <w:rsid w:val="00FF19CB"/>
    <w:rsid w:val="00FF30A8"/>
    <w:rsid w:val="00FF749C"/>
    <w:rsid w:val="00FF7A0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ab2c0d,#ab2125,#890029"/>
    </o:shapedefaults>
    <o:shapelayout v:ext="edit">
      <o:idmap v:ext="edit" data="1"/>
    </o:shapelayout>
  </w:shapeDefaults>
  <w:decimalSymbol w:val="."/>
  <w:listSeparator w:val=","/>
  <w14:docId w14:val="5A730F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qFormat/>
    <w:rsid w:val="00705E1E"/>
    <w:pPr>
      <w:keepNext/>
      <w:spacing w:before="360" w:after="120" w:line="240" w:lineRule="atLeast"/>
      <w:outlineLvl w:val="0"/>
    </w:pPr>
    <w:rPr>
      <w:b/>
      <w:kern w:val="32"/>
      <w:sz w:val="32"/>
      <w:szCs w:val="32"/>
    </w:rPr>
  </w:style>
  <w:style w:type="paragraph" w:styleId="Heading2">
    <w:name w:val="heading 2"/>
    <w:basedOn w:val="Normal"/>
    <w:next w:val="Normal"/>
    <w:link w:val="Heading2Char"/>
    <w:qFormat/>
    <w:rsid w:val="00705E1E"/>
    <w:pPr>
      <w:keepNext/>
      <w:spacing w:before="240" w:after="60" w:line="240" w:lineRule="atLeast"/>
      <w:outlineLvl w:val="1"/>
    </w:pPr>
    <w:rPr>
      <w:b/>
      <w:sz w:val="26"/>
      <w:szCs w:val="28"/>
    </w:rPr>
  </w:style>
  <w:style w:type="paragraph" w:styleId="Heading3">
    <w:name w:val="heading 3"/>
    <w:basedOn w:val="Normal"/>
    <w:next w:val="Normal"/>
    <w:qFormat/>
    <w:rsid w:val="008B2732"/>
    <w:pPr>
      <w:keepNext/>
      <w:spacing w:before="240" w:after="12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semiHidden/>
    <w:pPr>
      <w:tabs>
        <w:tab w:val="right" w:leader="dot" w:pos="9459"/>
      </w:tabs>
      <w:spacing w:before="240" w:after="60"/>
      <w:ind w:left="567" w:hanging="567"/>
    </w:pPr>
    <w:rPr>
      <w:b/>
      <w:noProof/>
      <w:sz w:val="28"/>
    </w:rPr>
  </w:style>
  <w:style w:type="paragraph" w:styleId="FootnoteText">
    <w:name w:val="footnote text"/>
    <w:aliases w:val="Footnote text"/>
    <w:basedOn w:val="Normal"/>
    <w:semiHidden/>
    <w:rsid w:val="004B4501"/>
    <w:pPr>
      <w:spacing w:line="240" w:lineRule="auto"/>
      <w:ind w:left="567" w:hanging="567"/>
    </w:pPr>
    <w:rPr>
      <w:sz w:val="18"/>
    </w:rPr>
  </w:style>
  <w:style w:type="character" w:styleId="FootnoteReference">
    <w:name w:val="footnote reference"/>
    <w:basedOn w:val="DefaultParagraphFont"/>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Heading2"/>
    <w:rsid w:val="00705E1E"/>
    <w:pPr>
      <w:ind w:left="142"/>
    </w:pPr>
    <w:rPr>
      <w:sz w:val="24"/>
    </w:rPr>
  </w:style>
  <w:style w:type="paragraph" w:customStyle="1" w:styleId="Titleofsubmission">
    <w:name w:val="Title of submission"/>
    <w:basedOn w:val="Heading1"/>
    <w:rsid w:val="00705E1E"/>
    <w:pPr>
      <w:ind w:left="142"/>
    </w:pPr>
  </w:style>
  <w:style w:type="paragraph" w:styleId="TOC2">
    <w:name w:val="toc 2"/>
    <w:basedOn w:val="Normal"/>
    <w:next w:val="Normal"/>
    <w:semiHidden/>
    <w:pPr>
      <w:tabs>
        <w:tab w:val="left" w:pos="1134"/>
        <w:tab w:val="right" w:leader="dot" w:pos="9459"/>
      </w:tabs>
      <w:ind w:left="1701" w:hanging="1134"/>
    </w:pPr>
  </w:style>
  <w:style w:type="paragraph" w:styleId="TOC3">
    <w:name w:val="toc 3"/>
    <w:basedOn w:val="Normal"/>
    <w:next w:val="Normal"/>
    <w:semiHidden/>
    <w:pPr>
      <w:tabs>
        <w:tab w:val="left" w:pos="1843"/>
        <w:tab w:val="right" w:pos="2268"/>
        <w:tab w:val="right" w:leader="dot" w:pos="9459"/>
      </w:tabs>
      <w:ind w:left="2977" w:hanging="1843"/>
    </w:p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character" w:customStyle="1" w:styleId="Heading2Char">
    <w:name w:val="Heading 2 Char"/>
    <w:basedOn w:val="DefaultParagraphFont"/>
    <w:link w:val="Heading2"/>
    <w:rsid w:val="00F96497"/>
    <w:rPr>
      <w:rFonts w:ascii="Arial" w:hAnsi="Arial"/>
      <w:b/>
      <w:sz w:val="26"/>
      <w:szCs w:val="28"/>
      <w:lang w:val="en-GB"/>
    </w:rPr>
  </w:style>
  <w:style w:type="paragraph" w:styleId="ListParagraph">
    <w:name w:val="List Paragraph"/>
    <w:basedOn w:val="Normal"/>
    <w:uiPriority w:val="34"/>
    <w:qFormat/>
    <w:rsid w:val="00B70770"/>
    <w:pPr>
      <w:ind w:left="720"/>
      <w:contextualSpacing/>
    </w:pPr>
  </w:style>
  <w:style w:type="paragraph" w:styleId="NormalWeb">
    <w:name w:val="Normal (Web)"/>
    <w:basedOn w:val="Normal"/>
    <w:uiPriority w:val="99"/>
    <w:semiHidden/>
    <w:unhideWhenUsed/>
    <w:rsid w:val="008E799E"/>
    <w:rPr>
      <w:rFonts w:ascii="Times New Roman" w:hAnsi="Times New Roman"/>
      <w:sz w:val="24"/>
    </w:rPr>
  </w:style>
  <w:style w:type="character" w:styleId="CommentReference">
    <w:name w:val="annotation reference"/>
    <w:basedOn w:val="DefaultParagraphFont"/>
    <w:uiPriority w:val="99"/>
    <w:semiHidden/>
    <w:unhideWhenUsed/>
    <w:rsid w:val="00982F23"/>
    <w:rPr>
      <w:sz w:val="18"/>
      <w:szCs w:val="18"/>
    </w:rPr>
  </w:style>
  <w:style w:type="paragraph" w:styleId="CommentText">
    <w:name w:val="annotation text"/>
    <w:basedOn w:val="Normal"/>
    <w:link w:val="CommentTextChar"/>
    <w:uiPriority w:val="99"/>
    <w:semiHidden/>
    <w:unhideWhenUsed/>
    <w:rsid w:val="00982F23"/>
    <w:pPr>
      <w:spacing w:line="240" w:lineRule="auto"/>
    </w:pPr>
    <w:rPr>
      <w:sz w:val="24"/>
    </w:rPr>
  </w:style>
  <w:style w:type="character" w:customStyle="1" w:styleId="CommentTextChar">
    <w:name w:val="Comment Text Char"/>
    <w:basedOn w:val="DefaultParagraphFont"/>
    <w:link w:val="CommentText"/>
    <w:uiPriority w:val="99"/>
    <w:semiHidden/>
    <w:rsid w:val="00982F23"/>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982F23"/>
    <w:rPr>
      <w:b/>
      <w:bCs/>
      <w:sz w:val="20"/>
      <w:szCs w:val="20"/>
    </w:rPr>
  </w:style>
  <w:style w:type="character" w:customStyle="1" w:styleId="CommentSubjectChar">
    <w:name w:val="Comment Subject Char"/>
    <w:basedOn w:val="CommentTextChar"/>
    <w:link w:val="CommentSubject"/>
    <w:uiPriority w:val="99"/>
    <w:semiHidden/>
    <w:rsid w:val="00982F23"/>
    <w:rPr>
      <w:rFonts w:ascii="Arial" w:hAnsi="Arial"/>
      <w:b/>
      <w:bCs/>
      <w:sz w:val="24"/>
      <w:szCs w:val="24"/>
      <w:lang w:val="en-GB"/>
    </w:rPr>
  </w:style>
  <w:style w:type="paragraph" w:styleId="Revision">
    <w:name w:val="Revision"/>
    <w:hidden/>
    <w:uiPriority w:val="99"/>
    <w:semiHidden/>
    <w:rsid w:val="00AE083C"/>
    <w:rPr>
      <w:rFonts w:ascii="Arial" w:hAnsi="Arial"/>
      <w:sz w:val="22"/>
      <w:szCs w:val="24"/>
      <w:lang w:val="en-GB"/>
    </w:rPr>
  </w:style>
  <w:style w:type="paragraph" w:styleId="DocumentMap">
    <w:name w:val="Document Map"/>
    <w:basedOn w:val="Normal"/>
    <w:link w:val="DocumentMapChar"/>
    <w:uiPriority w:val="99"/>
    <w:semiHidden/>
    <w:unhideWhenUsed/>
    <w:rsid w:val="001909D4"/>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909D4"/>
    <w:rPr>
      <w:rFonts w:ascii="Lucida Grande" w:hAnsi="Lucida Grande" w:cs="Lucida Grande"/>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qFormat/>
    <w:rsid w:val="00705E1E"/>
    <w:pPr>
      <w:keepNext/>
      <w:spacing w:before="360" w:after="120" w:line="240" w:lineRule="atLeast"/>
      <w:outlineLvl w:val="0"/>
    </w:pPr>
    <w:rPr>
      <w:b/>
      <w:kern w:val="32"/>
      <w:sz w:val="32"/>
      <w:szCs w:val="32"/>
    </w:rPr>
  </w:style>
  <w:style w:type="paragraph" w:styleId="Heading2">
    <w:name w:val="heading 2"/>
    <w:basedOn w:val="Normal"/>
    <w:next w:val="Normal"/>
    <w:link w:val="Heading2Char"/>
    <w:qFormat/>
    <w:rsid w:val="00705E1E"/>
    <w:pPr>
      <w:keepNext/>
      <w:spacing w:before="240" w:after="60" w:line="240" w:lineRule="atLeast"/>
      <w:outlineLvl w:val="1"/>
    </w:pPr>
    <w:rPr>
      <w:b/>
      <w:sz w:val="26"/>
      <w:szCs w:val="28"/>
    </w:rPr>
  </w:style>
  <w:style w:type="paragraph" w:styleId="Heading3">
    <w:name w:val="heading 3"/>
    <w:basedOn w:val="Normal"/>
    <w:next w:val="Normal"/>
    <w:qFormat/>
    <w:rsid w:val="008B2732"/>
    <w:pPr>
      <w:keepNext/>
      <w:spacing w:before="240" w:after="12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semiHidden/>
    <w:pPr>
      <w:tabs>
        <w:tab w:val="right" w:leader="dot" w:pos="9459"/>
      </w:tabs>
      <w:spacing w:before="240" w:after="60"/>
      <w:ind w:left="567" w:hanging="567"/>
    </w:pPr>
    <w:rPr>
      <w:b/>
      <w:noProof/>
      <w:sz w:val="28"/>
    </w:rPr>
  </w:style>
  <w:style w:type="paragraph" w:styleId="FootnoteText">
    <w:name w:val="footnote text"/>
    <w:aliases w:val="Footnote text"/>
    <w:basedOn w:val="Normal"/>
    <w:semiHidden/>
    <w:rsid w:val="004B4501"/>
    <w:pPr>
      <w:spacing w:line="240" w:lineRule="auto"/>
      <w:ind w:left="567" w:hanging="567"/>
    </w:pPr>
    <w:rPr>
      <w:sz w:val="18"/>
    </w:rPr>
  </w:style>
  <w:style w:type="character" w:styleId="FootnoteReference">
    <w:name w:val="footnote reference"/>
    <w:basedOn w:val="DefaultParagraphFont"/>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Heading2"/>
    <w:rsid w:val="00705E1E"/>
    <w:pPr>
      <w:ind w:left="142"/>
    </w:pPr>
    <w:rPr>
      <w:sz w:val="24"/>
    </w:rPr>
  </w:style>
  <w:style w:type="paragraph" w:customStyle="1" w:styleId="Titleofsubmission">
    <w:name w:val="Title of submission"/>
    <w:basedOn w:val="Heading1"/>
    <w:rsid w:val="00705E1E"/>
    <w:pPr>
      <w:ind w:left="142"/>
    </w:pPr>
  </w:style>
  <w:style w:type="paragraph" w:styleId="TOC2">
    <w:name w:val="toc 2"/>
    <w:basedOn w:val="Normal"/>
    <w:next w:val="Normal"/>
    <w:semiHidden/>
    <w:pPr>
      <w:tabs>
        <w:tab w:val="left" w:pos="1134"/>
        <w:tab w:val="right" w:leader="dot" w:pos="9459"/>
      </w:tabs>
      <w:ind w:left="1701" w:hanging="1134"/>
    </w:pPr>
  </w:style>
  <w:style w:type="paragraph" w:styleId="TOC3">
    <w:name w:val="toc 3"/>
    <w:basedOn w:val="Normal"/>
    <w:next w:val="Normal"/>
    <w:semiHidden/>
    <w:pPr>
      <w:tabs>
        <w:tab w:val="left" w:pos="1843"/>
        <w:tab w:val="right" w:pos="2268"/>
        <w:tab w:val="right" w:leader="dot" w:pos="9459"/>
      </w:tabs>
      <w:ind w:left="2977" w:hanging="1843"/>
    </w:p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character" w:customStyle="1" w:styleId="Heading2Char">
    <w:name w:val="Heading 2 Char"/>
    <w:basedOn w:val="DefaultParagraphFont"/>
    <w:link w:val="Heading2"/>
    <w:rsid w:val="00F96497"/>
    <w:rPr>
      <w:rFonts w:ascii="Arial" w:hAnsi="Arial"/>
      <w:b/>
      <w:sz w:val="26"/>
      <w:szCs w:val="28"/>
      <w:lang w:val="en-GB"/>
    </w:rPr>
  </w:style>
  <w:style w:type="paragraph" w:styleId="ListParagraph">
    <w:name w:val="List Paragraph"/>
    <w:basedOn w:val="Normal"/>
    <w:uiPriority w:val="34"/>
    <w:qFormat/>
    <w:rsid w:val="00B70770"/>
    <w:pPr>
      <w:ind w:left="720"/>
      <w:contextualSpacing/>
    </w:pPr>
  </w:style>
  <w:style w:type="paragraph" w:styleId="NormalWeb">
    <w:name w:val="Normal (Web)"/>
    <w:basedOn w:val="Normal"/>
    <w:uiPriority w:val="99"/>
    <w:semiHidden/>
    <w:unhideWhenUsed/>
    <w:rsid w:val="008E799E"/>
    <w:rPr>
      <w:rFonts w:ascii="Times New Roman" w:hAnsi="Times New Roman"/>
      <w:sz w:val="24"/>
    </w:rPr>
  </w:style>
  <w:style w:type="character" w:styleId="CommentReference">
    <w:name w:val="annotation reference"/>
    <w:basedOn w:val="DefaultParagraphFont"/>
    <w:uiPriority w:val="99"/>
    <w:semiHidden/>
    <w:unhideWhenUsed/>
    <w:rsid w:val="00982F23"/>
    <w:rPr>
      <w:sz w:val="18"/>
      <w:szCs w:val="18"/>
    </w:rPr>
  </w:style>
  <w:style w:type="paragraph" w:styleId="CommentText">
    <w:name w:val="annotation text"/>
    <w:basedOn w:val="Normal"/>
    <w:link w:val="CommentTextChar"/>
    <w:uiPriority w:val="99"/>
    <w:semiHidden/>
    <w:unhideWhenUsed/>
    <w:rsid w:val="00982F23"/>
    <w:pPr>
      <w:spacing w:line="240" w:lineRule="auto"/>
    </w:pPr>
    <w:rPr>
      <w:sz w:val="24"/>
    </w:rPr>
  </w:style>
  <w:style w:type="character" w:customStyle="1" w:styleId="CommentTextChar">
    <w:name w:val="Comment Text Char"/>
    <w:basedOn w:val="DefaultParagraphFont"/>
    <w:link w:val="CommentText"/>
    <w:uiPriority w:val="99"/>
    <w:semiHidden/>
    <w:rsid w:val="00982F23"/>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982F23"/>
    <w:rPr>
      <w:b/>
      <w:bCs/>
      <w:sz w:val="20"/>
      <w:szCs w:val="20"/>
    </w:rPr>
  </w:style>
  <w:style w:type="character" w:customStyle="1" w:styleId="CommentSubjectChar">
    <w:name w:val="Comment Subject Char"/>
    <w:basedOn w:val="CommentTextChar"/>
    <w:link w:val="CommentSubject"/>
    <w:uiPriority w:val="99"/>
    <w:semiHidden/>
    <w:rsid w:val="00982F23"/>
    <w:rPr>
      <w:rFonts w:ascii="Arial" w:hAnsi="Arial"/>
      <w:b/>
      <w:bCs/>
      <w:sz w:val="24"/>
      <w:szCs w:val="24"/>
      <w:lang w:val="en-GB"/>
    </w:rPr>
  </w:style>
  <w:style w:type="paragraph" w:styleId="Revision">
    <w:name w:val="Revision"/>
    <w:hidden/>
    <w:uiPriority w:val="99"/>
    <w:semiHidden/>
    <w:rsid w:val="00AE083C"/>
    <w:rPr>
      <w:rFonts w:ascii="Arial" w:hAnsi="Arial"/>
      <w:sz w:val="22"/>
      <w:szCs w:val="24"/>
      <w:lang w:val="en-GB"/>
    </w:rPr>
  </w:style>
  <w:style w:type="paragraph" w:styleId="DocumentMap">
    <w:name w:val="Document Map"/>
    <w:basedOn w:val="Normal"/>
    <w:link w:val="DocumentMapChar"/>
    <w:uiPriority w:val="99"/>
    <w:semiHidden/>
    <w:unhideWhenUsed/>
    <w:rsid w:val="001909D4"/>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909D4"/>
    <w:rPr>
      <w:rFonts w:ascii="Lucida Grande" w:hAnsi="Lucida Grande" w:cs="Lucida Grande"/>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68699">
      <w:bodyDiv w:val="1"/>
      <w:marLeft w:val="0"/>
      <w:marRight w:val="0"/>
      <w:marTop w:val="0"/>
      <w:marBottom w:val="0"/>
      <w:divBdr>
        <w:top w:val="none" w:sz="0" w:space="0" w:color="auto"/>
        <w:left w:val="none" w:sz="0" w:space="0" w:color="auto"/>
        <w:bottom w:val="none" w:sz="0" w:space="0" w:color="auto"/>
        <w:right w:val="none" w:sz="0" w:space="0" w:color="auto"/>
      </w:divBdr>
      <w:divsChild>
        <w:div w:id="927156079">
          <w:marLeft w:val="0"/>
          <w:marRight w:val="0"/>
          <w:marTop w:val="0"/>
          <w:marBottom w:val="0"/>
          <w:divBdr>
            <w:top w:val="none" w:sz="0" w:space="0" w:color="auto"/>
            <w:left w:val="none" w:sz="0" w:space="0" w:color="auto"/>
            <w:bottom w:val="none" w:sz="0" w:space="0" w:color="auto"/>
            <w:right w:val="none" w:sz="0" w:space="0" w:color="auto"/>
          </w:divBdr>
          <w:divsChild>
            <w:div w:id="72359075">
              <w:marLeft w:val="0"/>
              <w:marRight w:val="0"/>
              <w:marTop w:val="0"/>
              <w:marBottom w:val="0"/>
              <w:divBdr>
                <w:top w:val="none" w:sz="0" w:space="0" w:color="auto"/>
                <w:left w:val="none" w:sz="0" w:space="0" w:color="auto"/>
                <w:bottom w:val="none" w:sz="0" w:space="0" w:color="auto"/>
                <w:right w:val="none" w:sz="0" w:space="0" w:color="auto"/>
              </w:divBdr>
              <w:divsChild>
                <w:div w:id="19990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7880">
      <w:bodyDiv w:val="1"/>
      <w:marLeft w:val="0"/>
      <w:marRight w:val="0"/>
      <w:marTop w:val="0"/>
      <w:marBottom w:val="0"/>
      <w:divBdr>
        <w:top w:val="none" w:sz="0" w:space="0" w:color="auto"/>
        <w:left w:val="none" w:sz="0" w:space="0" w:color="auto"/>
        <w:bottom w:val="none" w:sz="0" w:space="0" w:color="auto"/>
        <w:right w:val="none" w:sz="0" w:space="0" w:color="auto"/>
      </w:divBdr>
      <w:divsChild>
        <w:div w:id="279915824">
          <w:marLeft w:val="0"/>
          <w:marRight w:val="0"/>
          <w:marTop w:val="0"/>
          <w:marBottom w:val="0"/>
          <w:divBdr>
            <w:top w:val="none" w:sz="0" w:space="0" w:color="auto"/>
            <w:left w:val="none" w:sz="0" w:space="0" w:color="auto"/>
            <w:bottom w:val="none" w:sz="0" w:space="0" w:color="auto"/>
            <w:right w:val="none" w:sz="0" w:space="0" w:color="auto"/>
          </w:divBdr>
          <w:divsChild>
            <w:div w:id="1924099597">
              <w:marLeft w:val="0"/>
              <w:marRight w:val="0"/>
              <w:marTop w:val="0"/>
              <w:marBottom w:val="0"/>
              <w:divBdr>
                <w:top w:val="none" w:sz="0" w:space="0" w:color="auto"/>
                <w:left w:val="none" w:sz="0" w:space="0" w:color="auto"/>
                <w:bottom w:val="none" w:sz="0" w:space="0" w:color="auto"/>
                <w:right w:val="none" w:sz="0" w:space="0" w:color="auto"/>
              </w:divBdr>
              <w:divsChild>
                <w:div w:id="4866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08572">
      <w:bodyDiv w:val="1"/>
      <w:marLeft w:val="0"/>
      <w:marRight w:val="0"/>
      <w:marTop w:val="0"/>
      <w:marBottom w:val="0"/>
      <w:divBdr>
        <w:top w:val="none" w:sz="0" w:space="0" w:color="auto"/>
        <w:left w:val="none" w:sz="0" w:space="0" w:color="auto"/>
        <w:bottom w:val="none" w:sz="0" w:space="0" w:color="auto"/>
        <w:right w:val="none" w:sz="0" w:space="0" w:color="auto"/>
      </w:divBdr>
      <w:divsChild>
        <w:div w:id="133839630">
          <w:marLeft w:val="0"/>
          <w:marRight w:val="0"/>
          <w:marTop w:val="0"/>
          <w:marBottom w:val="0"/>
          <w:divBdr>
            <w:top w:val="none" w:sz="0" w:space="0" w:color="auto"/>
            <w:left w:val="none" w:sz="0" w:space="0" w:color="auto"/>
            <w:bottom w:val="none" w:sz="0" w:space="0" w:color="auto"/>
            <w:right w:val="none" w:sz="0" w:space="0" w:color="auto"/>
          </w:divBdr>
          <w:divsChild>
            <w:div w:id="72702565">
              <w:marLeft w:val="0"/>
              <w:marRight w:val="0"/>
              <w:marTop w:val="0"/>
              <w:marBottom w:val="0"/>
              <w:divBdr>
                <w:top w:val="none" w:sz="0" w:space="0" w:color="auto"/>
                <w:left w:val="none" w:sz="0" w:space="0" w:color="auto"/>
                <w:bottom w:val="none" w:sz="0" w:space="0" w:color="auto"/>
                <w:right w:val="none" w:sz="0" w:space="0" w:color="auto"/>
              </w:divBdr>
              <w:divsChild>
                <w:div w:id="20168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12252">
      <w:bodyDiv w:val="1"/>
      <w:marLeft w:val="0"/>
      <w:marRight w:val="0"/>
      <w:marTop w:val="0"/>
      <w:marBottom w:val="0"/>
      <w:divBdr>
        <w:top w:val="none" w:sz="0" w:space="0" w:color="auto"/>
        <w:left w:val="none" w:sz="0" w:space="0" w:color="auto"/>
        <w:bottom w:val="none" w:sz="0" w:space="0" w:color="auto"/>
        <w:right w:val="none" w:sz="0" w:space="0" w:color="auto"/>
      </w:divBdr>
      <w:divsChild>
        <w:div w:id="1457328951">
          <w:marLeft w:val="0"/>
          <w:marRight w:val="0"/>
          <w:marTop w:val="0"/>
          <w:marBottom w:val="0"/>
          <w:divBdr>
            <w:top w:val="none" w:sz="0" w:space="0" w:color="auto"/>
            <w:left w:val="none" w:sz="0" w:space="0" w:color="auto"/>
            <w:bottom w:val="none" w:sz="0" w:space="0" w:color="auto"/>
            <w:right w:val="none" w:sz="0" w:space="0" w:color="auto"/>
          </w:divBdr>
          <w:divsChild>
            <w:div w:id="10884266">
              <w:marLeft w:val="0"/>
              <w:marRight w:val="0"/>
              <w:marTop w:val="0"/>
              <w:marBottom w:val="0"/>
              <w:divBdr>
                <w:top w:val="none" w:sz="0" w:space="0" w:color="auto"/>
                <w:left w:val="none" w:sz="0" w:space="0" w:color="auto"/>
                <w:bottom w:val="none" w:sz="0" w:space="0" w:color="auto"/>
                <w:right w:val="none" w:sz="0" w:space="0" w:color="auto"/>
              </w:divBdr>
              <w:divsChild>
                <w:div w:id="3157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2031">
      <w:bodyDiv w:val="1"/>
      <w:marLeft w:val="0"/>
      <w:marRight w:val="0"/>
      <w:marTop w:val="0"/>
      <w:marBottom w:val="0"/>
      <w:divBdr>
        <w:top w:val="none" w:sz="0" w:space="0" w:color="auto"/>
        <w:left w:val="none" w:sz="0" w:space="0" w:color="auto"/>
        <w:bottom w:val="none" w:sz="0" w:space="0" w:color="auto"/>
        <w:right w:val="none" w:sz="0" w:space="0" w:color="auto"/>
      </w:divBdr>
      <w:divsChild>
        <w:div w:id="767623503">
          <w:marLeft w:val="0"/>
          <w:marRight w:val="0"/>
          <w:marTop w:val="0"/>
          <w:marBottom w:val="0"/>
          <w:divBdr>
            <w:top w:val="none" w:sz="0" w:space="0" w:color="auto"/>
            <w:left w:val="none" w:sz="0" w:space="0" w:color="auto"/>
            <w:bottom w:val="none" w:sz="0" w:space="0" w:color="auto"/>
            <w:right w:val="none" w:sz="0" w:space="0" w:color="auto"/>
          </w:divBdr>
          <w:divsChild>
            <w:div w:id="415395715">
              <w:marLeft w:val="0"/>
              <w:marRight w:val="0"/>
              <w:marTop w:val="0"/>
              <w:marBottom w:val="0"/>
              <w:divBdr>
                <w:top w:val="none" w:sz="0" w:space="0" w:color="auto"/>
                <w:left w:val="none" w:sz="0" w:space="0" w:color="auto"/>
                <w:bottom w:val="none" w:sz="0" w:space="0" w:color="auto"/>
                <w:right w:val="none" w:sz="0" w:space="0" w:color="auto"/>
              </w:divBdr>
              <w:divsChild>
                <w:div w:id="17182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8424">
      <w:bodyDiv w:val="1"/>
      <w:marLeft w:val="0"/>
      <w:marRight w:val="0"/>
      <w:marTop w:val="0"/>
      <w:marBottom w:val="0"/>
      <w:divBdr>
        <w:top w:val="none" w:sz="0" w:space="0" w:color="auto"/>
        <w:left w:val="none" w:sz="0" w:space="0" w:color="auto"/>
        <w:bottom w:val="none" w:sz="0" w:space="0" w:color="auto"/>
        <w:right w:val="none" w:sz="0" w:space="0" w:color="auto"/>
      </w:divBdr>
      <w:divsChild>
        <w:div w:id="935747119">
          <w:marLeft w:val="0"/>
          <w:marRight w:val="0"/>
          <w:marTop w:val="0"/>
          <w:marBottom w:val="0"/>
          <w:divBdr>
            <w:top w:val="none" w:sz="0" w:space="0" w:color="auto"/>
            <w:left w:val="none" w:sz="0" w:space="0" w:color="auto"/>
            <w:bottom w:val="none" w:sz="0" w:space="0" w:color="auto"/>
            <w:right w:val="none" w:sz="0" w:space="0" w:color="auto"/>
          </w:divBdr>
          <w:divsChild>
            <w:div w:id="1367682092">
              <w:marLeft w:val="0"/>
              <w:marRight w:val="0"/>
              <w:marTop w:val="0"/>
              <w:marBottom w:val="0"/>
              <w:divBdr>
                <w:top w:val="none" w:sz="0" w:space="0" w:color="auto"/>
                <w:left w:val="none" w:sz="0" w:space="0" w:color="auto"/>
                <w:bottom w:val="none" w:sz="0" w:space="0" w:color="auto"/>
                <w:right w:val="none" w:sz="0" w:space="0" w:color="auto"/>
              </w:divBdr>
              <w:divsChild>
                <w:div w:id="15170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6852">
      <w:bodyDiv w:val="1"/>
      <w:marLeft w:val="0"/>
      <w:marRight w:val="0"/>
      <w:marTop w:val="0"/>
      <w:marBottom w:val="0"/>
      <w:divBdr>
        <w:top w:val="none" w:sz="0" w:space="0" w:color="auto"/>
        <w:left w:val="none" w:sz="0" w:space="0" w:color="auto"/>
        <w:bottom w:val="none" w:sz="0" w:space="0" w:color="auto"/>
        <w:right w:val="none" w:sz="0" w:space="0" w:color="auto"/>
      </w:divBdr>
      <w:divsChild>
        <w:div w:id="73668688">
          <w:marLeft w:val="0"/>
          <w:marRight w:val="0"/>
          <w:marTop w:val="0"/>
          <w:marBottom w:val="0"/>
          <w:divBdr>
            <w:top w:val="none" w:sz="0" w:space="0" w:color="auto"/>
            <w:left w:val="none" w:sz="0" w:space="0" w:color="auto"/>
            <w:bottom w:val="none" w:sz="0" w:space="0" w:color="auto"/>
            <w:right w:val="none" w:sz="0" w:space="0" w:color="auto"/>
          </w:divBdr>
          <w:divsChild>
            <w:div w:id="1331450048">
              <w:marLeft w:val="0"/>
              <w:marRight w:val="0"/>
              <w:marTop w:val="0"/>
              <w:marBottom w:val="0"/>
              <w:divBdr>
                <w:top w:val="none" w:sz="0" w:space="0" w:color="auto"/>
                <w:left w:val="none" w:sz="0" w:space="0" w:color="auto"/>
                <w:bottom w:val="none" w:sz="0" w:space="0" w:color="auto"/>
                <w:right w:val="none" w:sz="0" w:space="0" w:color="auto"/>
              </w:divBdr>
              <w:divsChild>
                <w:div w:id="12119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2283">
      <w:bodyDiv w:val="1"/>
      <w:marLeft w:val="0"/>
      <w:marRight w:val="0"/>
      <w:marTop w:val="0"/>
      <w:marBottom w:val="0"/>
      <w:divBdr>
        <w:top w:val="none" w:sz="0" w:space="0" w:color="auto"/>
        <w:left w:val="none" w:sz="0" w:space="0" w:color="auto"/>
        <w:bottom w:val="none" w:sz="0" w:space="0" w:color="auto"/>
        <w:right w:val="none" w:sz="0" w:space="0" w:color="auto"/>
      </w:divBdr>
      <w:divsChild>
        <w:div w:id="728116753">
          <w:marLeft w:val="0"/>
          <w:marRight w:val="0"/>
          <w:marTop w:val="0"/>
          <w:marBottom w:val="0"/>
          <w:divBdr>
            <w:top w:val="none" w:sz="0" w:space="0" w:color="auto"/>
            <w:left w:val="none" w:sz="0" w:space="0" w:color="auto"/>
            <w:bottom w:val="none" w:sz="0" w:space="0" w:color="auto"/>
            <w:right w:val="none" w:sz="0" w:space="0" w:color="auto"/>
          </w:divBdr>
          <w:divsChild>
            <w:div w:id="1178077062">
              <w:marLeft w:val="0"/>
              <w:marRight w:val="0"/>
              <w:marTop w:val="0"/>
              <w:marBottom w:val="0"/>
              <w:divBdr>
                <w:top w:val="none" w:sz="0" w:space="0" w:color="auto"/>
                <w:left w:val="none" w:sz="0" w:space="0" w:color="auto"/>
                <w:bottom w:val="none" w:sz="0" w:space="0" w:color="auto"/>
                <w:right w:val="none" w:sz="0" w:space="0" w:color="auto"/>
              </w:divBdr>
              <w:divsChild>
                <w:div w:id="8605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1054">
      <w:bodyDiv w:val="1"/>
      <w:marLeft w:val="0"/>
      <w:marRight w:val="0"/>
      <w:marTop w:val="0"/>
      <w:marBottom w:val="0"/>
      <w:divBdr>
        <w:top w:val="none" w:sz="0" w:space="0" w:color="auto"/>
        <w:left w:val="none" w:sz="0" w:space="0" w:color="auto"/>
        <w:bottom w:val="none" w:sz="0" w:space="0" w:color="auto"/>
        <w:right w:val="none" w:sz="0" w:space="0" w:color="auto"/>
      </w:divBdr>
      <w:divsChild>
        <w:div w:id="1165852329">
          <w:marLeft w:val="0"/>
          <w:marRight w:val="0"/>
          <w:marTop w:val="0"/>
          <w:marBottom w:val="0"/>
          <w:divBdr>
            <w:top w:val="none" w:sz="0" w:space="0" w:color="auto"/>
            <w:left w:val="none" w:sz="0" w:space="0" w:color="auto"/>
            <w:bottom w:val="none" w:sz="0" w:space="0" w:color="auto"/>
            <w:right w:val="none" w:sz="0" w:space="0" w:color="auto"/>
          </w:divBdr>
          <w:divsChild>
            <w:div w:id="201795181">
              <w:marLeft w:val="0"/>
              <w:marRight w:val="0"/>
              <w:marTop w:val="0"/>
              <w:marBottom w:val="0"/>
              <w:divBdr>
                <w:top w:val="none" w:sz="0" w:space="0" w:color="auto"/>
                <w:left w:val="none" w:sz="0" w:space="0" w:color="auto"/>
                <w:bottom w:val="none" w:sz="0" w:space="0" w:color="auto"/>
                <w:right w:val="none" w:sz="0" w:space="0" w:color="auto"/>
              </w:divBdr>
              <w:divsChild>
                <w:div w:id="14095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5813">
      <w:bodyDiv w:val="1"/>
      <w:marLeft w:val="0"/>
      <w:marRight w:val="0"/>
      <w:marTop w:val="0"/>
      <w:marBottom w:val="0"/>
      <w:divBdr>
        <w:top w:val="none" w:sz="0" w:space="0" w:color="auto"/>
        <w:left w:val="none" w:sz="0" w:space="0" w:color="auto"/>
        <w:bottom w:val="none" w:sz="0" w:space="0" w:color="auto"/>
        <w:right w:val="none" w:sz="0" w:space="0" w:color="auto"/>
      </w:divBdr>
      <w:divsChild>
        <w:div w:id="531041917">
          <w:marLeft w:val="0"/>
          <w:marRight w:val="0"/>
          <w:marTop w:val="0"/>
          <w:marBottom w:val="0"/>
          <w:divBdr>
            <w:top w:val="none" w:sz="0" w:space="0" w:color="auto"/>
            <w:left w:val="none" w:sz="0" w:space="0" w:color="auto"/>
            <w:bottom w:val="none" w:sz="0" w:space="0" w:color="auto"/>
            <w:right w:val="none" w:sz="0" w:space="0" w:color="auto"/>
          </w:divBdr>
          <w:divsChild>
            <w:div w:id="702440756">
              <w:marLeft w:val="0"/>
              <w:marRight w:val="0"/>
              <w:marTop w:val="0"/>
              <w:marBottom w:val="0"/>
              <w:divBdr>
                <w:top w:val="none" w:sz="0" w:space="0" w:color="auto"/>
                <w:left w:val="none" w:sz="0" w:space="0" w:color="auto"/>
                <w:bottom w:val="none" w:sz="0" w:space="0" w:color="auto"/>
                <w:right w:val="none" w:sz="0" w:space="0" w:color="auto"/>
              </w:divBdr>
              <w:divsChild>
                <w:div w:id="10585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17510">
      <w:bodyDiv w:val="1"/>
      <w:marLeft w:val="0"/>
      <w:marRight w:val="0"/>
      <w:marTop w:val="0"/>
      <w:marBottom w:val="0"/>
      <w:divBdr>
        <w:top w:val="none" w:sz="0" w:space="0" w:color="auto"/>
        <w:left w:val="none" w:sz="0" w:space="0" w:color="auto"/>
        <w:bottom w:val="none" w:sz="0" w:space="0" w:color="auto"/>
        <w:right w:val="none" w:sz="0" w:space="0" w:color="auto"/>
      </w:divBdr>
      <w:divsChild>
        <w:div w:id="500510786">
          <w:marLeft w:val="0"/>
          <w:marRight w:val="0"/>
          <w:marTop w:val="0"/>
          <w:marBottom w:val="0"/>
          <w:divBdr>
            <w:top w:val="none" w:sz="0" w:space="0" w:color="auto"/>
            <w:left w:val="none" w:sz="0" w:space="0" w:color="auto"/>
            <w:bottom w:val="none" w:sz="0" w:space="0" w:color="auto"/>
            <w:right w:val="none" w:sz="0" w:space="0" w:color="auto"/>
          </w:divBdr>
          <w:divsChild>
            <w:div w:id="1367565136">
              <w:marLeft w:val="0"/>
              <w:marRight w:val="0"/>
              <w:marTop w:val="0"/>
              <w:marBottom w:val="0"/>
              <w:divBdr>
                <w:top w:val="none" w:sz="0" w:space="0" w:color="auto"/>
                <w:left w:val="none" w:sz="0" w:space="0" w:color="auto"/>
                <w:bottom w:val="none" w:sz="0" w:space="0" w:color="auto"/>
                <w:right w:val="none" w:sz="0" w:space="0" w:color="auto"/>
              </w:divBdr>
              <w:divsChild>
                <w:div w:id="276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34070">
      <w:bodyDiv w:val="1"/>
      <w:marLeft w:val="0"/>
      <w:marRight w:val="0"/>
      <w:marTop w:val="0"/>
      <w:marBottom w:val="0"/>
      <w:divBdr>
        <w:top w:val="none" w:sz="0" w:space="0" w:color="auto"/>
        <w:left w:val="none" w:sz="0" w:space="0" w:color="auto"/>
        <w:bottom w:val="none" w:sz="0" w:space="0" w:color="auto"/>
        <w:right w:val="none" w:sz="0" w:space="0" w:color="auto"/>
      </w:divBdr>
      <w:divsChild>
        <w:div w:id="2055348896">
          <w:marLeft w:val="0"/>
          <w:marRight w:val="0"/>
          <w:marTop w:val="0"/>
          <w:marBottom w:val="0"/>
          <w:divBdr>
            <w:top w:val="none" w:sz="0" w:space="0" w:color="auto"/>
            <w:left w:val="none" w:sz="0" w:space="0" w:color="auto"/>
            <w:bottom w:val="none" w:sz="0" w:space="0" w:color="auto"/>
            <w:right w:val="none" w:sz="0" w:space="0" w:color="auto"/>
          </w:divBdr>
          <w:divsChild>
            <w:div w:id="549616895">
              <w:marLeft w:val="0"/>
              <w:marRight w:val="0"/>
              <w:marTop w:val="0"/>
              <w:marBottom w:val="0"/>
              <w:divBdr>
                <w:top w:val="none" w:sz="0" w:space="0" w:color="auto"/>
                <w:left w:val="none" w:sz="0" w:space="0" w:color="auto"/>
                <w:bottom w:val="none" w:sz="0" w:space="0" w:color="auto"/>
                <w:right w:val="none" w:sz="0" w:space="0" w:color="auto"/>
              </w:divBdr>
              <w:divsChild>
                <w:div w:id="17146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32573">
      <w:bodyDiv w:val="1"/>
      <w:marLeft w:val="0"/>
      <w:marRight w:val="0"/>
      <w:marTop w:val="0"/>
      <w:marBottom w:val="0"/>
      <w:divBdr>
        <w:top w:val="none" w:sz="0" w:space="0" w:color="auto"/>
        <w:left w:val="none" w:sz="0" w:space="0" w:color="auto"/>
        <w:bottom w:val="none" w:sz="0" w:space="0" w:color="auto"/>
        <w:right w:val="none" w:sz="0" w:space="0" w:color="auto"/>
      </w:divBdr>
      <w:divsChild>
        <w:div w:id="338314341">
          <w:marLeft w:val="0"/>
          <w:marRight w:val="0"/>
          <w:marTop w:val="0"/>
          <w:marBottom w:val="0"/>
          <w:divBdr>
            <w:top w:val="none" w:sz="0" w:space="0" w:color="auto"/>
            <w:left w:val="none" w:sz="0" w:space="0" w:color="auto"/>
            <w:bottom w:val="none" w:sz="0" w:space="0" w:color="auto"/>
            <w:right w:val="none" w:sz="0" w:space="0" w:color="auto"/>
          </w:divBdr>
          <w:divsChild>
            <w:div w:id="1269460667">
              <w:marLeft w:val="0"/>
              <w:marRight w:val="0"/>
              <w:marTop w:val="0"/>
              <w:marBottom w:val="0"/>
              <w:divBdr>
                <w:top w:val="none" w:sz="0" w:space="0" w:color="auto"/>
                <w:left w:val="none" w:sz="0" w:space="0" w:color="auto"/>
                <w:bottom w:val="none" w:sz="0" w:space="0" w:color="auto"/>
                <w:right w:val="none" w:sz="0" w:space="0" w:color="auto"/>
              </w:divBdr>
              <w:divsChild>
                <w:div w:id="10905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8616">
      <w:bodyDiv w:val="1"/>
      <w:marLeft w:val="0"/>
      <w:marRight w:val="0"/>
      <w:marTop w:val="0"/>
      <w:marBottom w:val="0"/>
      <w:divBdr>
        <w:top w:val="none" w:sz="0" w:space="0" w:color="auto"/>
        <w:left w:val="none" w:sz="0" w:space="0" w:color="auto"/>
        <w:bottom w:val="none" w:sz="0" w:space="0" w:color="auto"/>
        <w:right w:val="none" w:sz="0" w:space="0" w:color="auto"/>
      </w:divBdr>
      <w:divsChild>
        <w:div w:id="764543646">
          <w:marLeft w:val="0"/>
          <w:marRight w:val="0"/>
          <w:marTop w:val="0"/>
          <w:marBottom w:val="0"/>
          <w:divBdr>
            <w:top w:val="none" w:sz="0" w:space="0" w:color="auto"/>
            <w:left w:val="none" w:sz="0" w:space="0" w:color="auto"/>
            <w:bottom w:val="none" w:sz="0" w:space="0" w:color="auto"/>
            <w:right w:val="none" w:sz="0" w:space="0" w:color="auto"/>
          </w:divBdr>
          <w:divsChild>
            <w:div w:id="2044821134">
              <w:marLeft w:val="0"/>
              <w:marRight w:val="0"/>
              <w:marTop w:val="0"/>
              <w:marBottom w:val="0"/>
              <w:divBdr>
                <w:top w:val="none" w:sz="0" w:space="0" w:color="auto"/>
                <w:left w:val="none" w:sz="0" w:space="0" w:color="auto"/>
                <w:bottom w:val="none" w:sz="0" w:space="0" w:color="auto"/>
                <w:right w:val="none" w:sz="0" w:space="0" w:color="auto"/>
              </w:divBdr>
              <w:divsChild>
                <w:div w:id="2553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0010">
      <w:bodyDiv w:val="1"/>
      <w:marLeft w:val="0"/>
      <w:marRight w:val="0"/>
      <w:marTop w:val="0"/>
      <w:marBottom w:val="0"/>
      <w:divBdr>
        <w:top w:val="none" w:sz="0" w:space="0" w:color="auto"/>
        <w:left w:val="none" w:sz="0" w:space="0" w:color="auto"/>
        <w:bottom w:val="none" w:sz="0" w:space="0" w:color="auto"/>
        <w:right w:val="none" w:sz="0" w:space="0" w:color="auto"/>
      </w:divBdr>
      <w:divsChild>
        <w:div w:id="894509401">
          <w:marLeft w:val="0"/>
          <w:marRight w:val="0"/>
          <w:marTop w:val="0"/>
          <w:marBottom w:val="0"/>
          <w:divBdr>
            <w:top w:val="none" w:sz="0" w:space="0" w:color="auto"/>
            <w:left w:val="none" w:sz="0" w:space="0" w:color="auto"/>
            <w:bottom w:val="none" w:sz="0" w:space="0" w:color="auto"/>
            <w:right w:val="none" w:sz="0" w:space="0" w:color="auto"/>
          </w:divBdr>
          <w:divsChild>
            <w:div w:id="1546722227">
              <w:marLeft w:val="0"/>
              <w:marRight w:val="0"/>
              <w:marTop w:val="0"/>
              <w:marBottom w:val="0"/>
              <w:divBdr>
                <w:top w:val="none" w:sz="0" w:space="0" w:color="auto"/>
                <w:left w:val="none" w:sz="0" w:space="0" w:color="auto"/>
                <w:bottom w:val="none" w:sz="0" w:space="0" w:color="auto"/>
                <w:right w:val="none" w:sz="0" w:space="0" w:color="auto"/>
              </w:divBdr>
              <w:divsChild>
                <w:div w:id="2884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2194">
      <w:bodyDiv w:val="1"/>
      <w:marLeft w:val="0"/>
      <w:marRight w:val="0"/>
      <w:marTop w:val="0"/>
      <w:marBottom w:val="0"/>
      <w:divBdr>
        <w:top w:val="none" w:sz="0" w:space="0" w:color="auto"/>
        <w:left w:val="none" w:sz="0" w:space="0" w:color="auto"/>
        <w:bottom w:val="none" w:sz="0" w:space="0" w:color="auto"/>
        <w:right w:val="none" w:sz="0" w:space="0" w:color="auto"/>
      </w:divBdr>
      <w:divsChild>
        <w:div w:id="1163085188">
          <w:marLeft w:val="0"/>
          <w:marRight w:val="0"/>
          <w:marTop w:val="0"/>
          <w:marBottom w:val="0"/>
          <w:divBdr>
            <w:top w:val="none" w:sz="0" w:space="0" w:color="auto"/>
            <w:left w:val="none" w:sz="0" w:space="0" w:color="auto"/>
            <w:bottom w:val="none" w:sz="0" w:space="0" w:color="auto"/>
            <w:right w:val="none" w:sz="0" w:space="0" w:color="auto"/>
          </w:divBdr>
          <w:divsChild>
            <w:div w:id="62725207">
              <w:marLeft w:val="0"/>
              <w:marRight w:val="0"/>
              <w:marTop w:val="0"/>
              <w:marBottom w:val="0"/>
              <w:divBdr>
                <w:top w:val="none" w:sz="0" w:space="0" w:color="auto"/>
                <w:left w:val="none" w:sz="0" w:space="0" w:color="auto"/>
                <w:bottom w:val="none" w:sz="0" w:space="0" w:color="auto"/>
                <w:right w:val="none" w:sz="0" w:space="0" w:color="auto"/>
              </w:divBdr>
              <w:divsChild>
                <w:div w:id="8924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3795">
      <w:bodyDiv w:val="1"/>
      <w:marLeft w:val="0"/>
      <w:marRight w:val="0"/>
      <w:marTop w:val="0"/>
      <w:marBottom w:val="0"/>
      <w:divBdr>
        <w:top w:val="none" w:sz="0" w:space="0" w:color="auto"/>
        <w:left w:val="none" w:sz="0" w:space="0" w:color="auto"/>
        <w:bottom w:val="none" w:sz="0" w:space="0" w:color="auto"/>
        <w:right w:val="none" w:sz="0" w:space="0" w:color="auto"/>
      </w:divBdr>
      <w:divsChild>
        <w:div w:id="2068647062">
          <w:marLeft w:val="0"/>
          <w:marRight w:val="0"/>
          <w:marTop w:val="0"/>
          <w:marBottom w:val="0"/>
          <w:divBdr>
            <w:top w:val="none" w:sz="0" w:space="0" w:color="auto"/>
            <w:left w:val="none" w:sz="0" w:space="0" w:color="auto"/>
            <w:bottom w:val="none" w:sz="0" w:space="0" w:color="auto"/>
            <w:right w:val="none" w:sz="0" w:space="0" w:color="auto"/>
          </w:divBdr>
          <w:divsChild>
            <w:div w:id="1385565995">
              <w:marLeft w:val="0"/>
              <w:marRight w:val="0"/>
              <w:marTop w:val="0"/>
              <w:marBottom w:val="0"/>
              <w:divBdr>
                <w:top w:val="none" w:sz="0" w:space="0" w:color="auto"/>
                <w:left w:val="none" w:sz="0" w:space="0" w:color="auto"/>
                <w:bottom w:val="none" w:sz="0" w:space="0" w:color="auto"/>
                <w:right w:val="none" w:sz="0" w:space="0" w:color="auto"/>
              </w:divBdr>
              <w:divsChild>
                <w:div w:id="9361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48946">
      <w:bodyDiv w:val="1"/>
      <w:marLeft w:val="0"/>
      <w:marRight w:val="0"/>
      <w:marTop w:val="0"/>
      <w:marBottom w:val="0"/>
      <w:divBdr>
        <w:top w:val="none" w:sz="0" w:space="0" w:color="auto"/>
        <w:left w:val="none" w:sz="0" w:space="0" w:color="auto"/>
        <w:bottom w:val="none" w:sz="0" w:space="0" w:color="auto"/>
        <w:right w:val="none" w:sz="0" w:space="0" w:color="auto"/>
      </w:divBdr>
      <w:divsChild>
        <w:div w:id="1893614800">
          <w:marLeft w:val="0"/>
          <w:marRight w:val="0"/>
          <w:marTop w:val="0"/>
          <w:marBottom w:val="0"/>
          <w:divBdr>
            <w:top w:val="none" w:sz="0" w:space="0" w:color="auto"/>
            <w:left w:val="none" w:sz="0" w:space="0" w:color="auto"/>
            <w:bottom w:val="none" w:sz="0" w:space="0" w:color="auto"/>
            <w:right w:val="none" w:sz="0" w:space="0" w:color="auto"/>
          </w:divBdr>
          <w:divsChild>
            <w:div w:id="2114129283">
              <w:marLeft w:val="0"/>
              <w:marRight w:val="0"/>
              <w:marTop w:val="0"/>
              <w:marBottom w:val="0"/>
              <w:divBdr>
                <w:top w:val="none" w:sz="0" w:space="0" w:color="auto"/>
                <w:left w:val="none" w:sz="0" w:space="0" w:color="auto"/>
                <w:bottom w:val="none" w:sz="0" w:space="0" w:color="auto"/>
                <w:right w:val="none" w:sz="0" w:space="0" w:color="auto"/>
              </w:divBdr>
              <w:divsChild>
                <w:div w:id="815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C496-1F68-B44D-9CCC-E25027E0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4193</Words>
  <Characters>23903</Characters>
  <Application>Microsoft Macintosh Word</Application>
  <DocSecurity>0</DocSecurity>
  <Lines>199</Lines>
  <Paragraphs>56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Introduction</vt:lpstr>
      <vt:lpstr>    The Public Interest Advocacy Centre</vt:lpstr>
      <vt:lpstr>    PIAC’s work on [issue]</vt:lpstr>
      <vt:lpstr>        Heading 3</vt:lpstr>
      <vt:lpstr>[Numbered heading 1]</vt:lpstr>
      <vt:lpstr>    [Numbered heading 2]</vt:lpstr>
      <vt:lpstr>    Using Heading Styles</vt:lpstr>
    </vt:vector>
  </TitlesOfParts>
  <Company>Public Interest Advocacy Centre</Company>
  <LinksUpToDate>false</LinksUpToDate>
  <CharactersWithSpaces>28040</CharactersWithSpaces>
  <SharedDoc>false</SharedDoc>
  <HLinks>
    <vt:vector size="6" baseType="variant">
      <vt:variant>
        <vt:i4>7536658</vt:i4>
      </vt:variant>
      <vt:variant>
        <vt:i4>-1</vt:i4>
      </vt:variant>
      <vt:variant>
        <vt:i4>2051</vt:i4>
      </vt:variant>
      <vt:variant>
        <vt:i4>1</vt:i4>
      </vt:variant>
      <vt:variant>
        <vt:lpwstr>PIAC_RGB_ID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Kristal Burry</dc:creator>
  <cp:keywords/>
  <cp:lastModifiedBy>Kristal Burry</cp:lastModifiedBy>
  <cp:revision>4</cp:revision>
  <cp:lastPrinted>2016-10-04T04:57:00Z</cp:lastPrinted>
  <dcterms:created xsi:type="dcterms:W3CDTF">2016-10-04T04:57:00Z</dcterms:created>
  <dcterms:modified xsi:type="dcterms:W3CDTF">2016-10-04T04:58:00Z</dcterms:modified>
</cp:coreProperties>
</file>