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AD07F" w14:textId="77777777" w:rsidR="00C330B2" w:rsidRDefault="00C330B2" w:rsidP="00710F1C">
      <w:pPr>
        <w:pStyle w:val="NumberedHeading1"/>
        <w:numPr>
          <w:ilvl w:val="0"/>
          <w:numId w:val="0"/>
        </w:numPr>
        <w:ind w:left="851"/>
      </w:pPr>
    </w:p>
    <w:p w14:paraId="75CD5DE4" w14:textId="77777777" w:rsidR="00C330B2" w:rsidRDefault="00C330B2">
      <w:pPr>
        <w:ind w:left="-567"/>
      </w:pPr>
    </w:p>
    <w:p w14:paraId="6297F826" w14:textId="6A930750" w:rsidR="00C330B2" w:rsidRDefault="00EC0DD5">
      <w:pPr>
        <w:ind w:left="-567"/>
      </w:pPr>
      <w:r>
        <w:rPr>
          <w:noProof/>
          <w:lang w:val="en-US"/>
        </w:rPr>
        <mc:AlternateContent>
          <mc:Choice Requires="wps">
            <w:drawing>
              <wp:anchor distT="0" distB="0" distL="114300" distR="114300" simplePos="0" relativeHeight="251656704" behindDoc="0" locked="0" layoutInCell="1" allowOverlap="1" wp14:anchorId="1E5058A6" wp14:editId="55F057E9">
                <wp:simplePos x="0" y="0"/>
                <wp:positionH relativeFrom="column">
                  <wp:posOffset>622935</wp:posOffset>
                </wp:positionH>
                <wp:positionV relativeFrom="paragraph">
                  <wp:posOffset>128905</wp:posOffset>
                </wp:positionV>
                <wp:extent cx="5029200" cy="1764030"/>
                <wp:effectExtent l="0" t="0" r="25400" b="139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64030"/>
                        </a:xfrm>
                        <a:prstGeom prst="rect">
                          <a:avLst/>
                        </a:prstGeom>
                        <a:solidFill>
                          <a:srgbClr val="FFFFFF"/>
                        </a:solidFill>
                        <a:ln w="9525">
                          <a:solidFill>
                            <a:srgbClr val="000000"/>
                          </a:solidFill>
                          <a:miter lim="800000"/>
                          <a:headEnd/>
                          <a:tailEnd/>
                        </a:ln>
                      </wps:spPr>
                      <wps:txbx>
                        <w:txbxContent>
                          <w:p w14:paraId="403AC854" w14:textId="13C7F7AE" w:rsidR="006E0A32" w:rsidRDefault="006E0A32" w:rsidP="00414B00">
                            <w:pPr>
                              <w:pStyle w:val="Titleofsubmission"/>
                            </w:pPr>
                            <w:r>
                              <w:t xml:space="preserve">The price is right? </w:t>
                            </w:r>
                          </w:p>
                          <w:p w14:paraId="42024843" w14:textId="38C58498" w:rsidR="006E0A32" w:rsidRPr="00EC7B6E" w:rsidRDefault="006E0A32" w:rsidP="00635B53">
                            <w:pPr>
                              <w:pStyle w:val="Titleofsubmission"/>
                            </w:pPr>
                            <w:r>
                              <w:t>Response to IPART Draft Determinations for both Sydney Water and Hunter Water</w:t>
                            </w:r>
                          </w:p>
                          <w:p w14:paraId="6C9B1CF6" w14:textId="77777777" w:rsidR="006E0A32" w:rsidRPr="00EC7B6E" w:rsidRDefault="006E0A32" w:rsidP="00635B53">
                            <w:pPr>
                              <w:pStyle w:val="Titleofsubmission"/>
                            </w:pPr>
                            <w:r>
                              <w:t>18 April 2016</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05pt;margin-top:10.15pt;width:396pt;height:13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">
                <v:textbox inset="5mm,,5mm">
                  <w:txbxContent>
                    <w:p w14:paraId="403AC854" w14:textId="13C7F7AE" w:rsidR="006E0A32" w:rsidRDefault="006E0A32" w:rsidP="00414B00">
                      <w:pPr>
                        <w:pStyle w:val="Titleofsubmission"/>
                      </w:pPr>
                      <w:r>
                        <w:t xml:space="preserve">The price is right? </w:t>
                      </w:r>
                    </w:p>
                    <w:p w14:paraId="42024843" w14:textId="38C58498" w:rsidR="006E0A32" w:rsidRPr="00EC7B6E" w:rsidRDefault="006E0A32" w:rsidP="00635B53">
                      <w:pPr>
                        <w:pStyle w:val="Titleofsubmission"/>
                      </w:pPr>
                      <w:r>
                        <w:t>Response to IPART Draft Determinations for both Sydney Water and Hunter Water</w:t>
                      </w:r>
                    </w:p>
                    <w:p w14:paraId="6C9B1CF6" w14:textId="77777777" w:rsidR="006E0A32" w:rsidRPr="00EC7B6E" w:rsidRDefault="006E0A32" w:rsidP="00635B53">
                      <w:pPr>
                        <w:pStyle w:val="Titleofsubmission"/>
                      </w:pPr>
                      <w:r>
                        <w:t>18 April 2016</w:t>
                      </w:r>
                    </w:p>
                  </w:txbxContent>
                </v:textbox>
              </v:shape>
            </w:pict>
          </mc:Fallback>
        </mc:AlternateContent>
      </w:r>
    </w:p>
    <w:p w14:paraId="7B17C19D" w14:textId="72EC33FB" w:rsidR="00C330B2" w:rsidRDefault="00C330B2">
      <w:pPr>
        <w:ind w:left="-567"/>
      </w:pPr>
    </w:p>
    <w:p w14:paraId="596B8EE2" w14:textId="77777777" w:rsidR="00C330B2" w:rsidRDefault="00C330B2">
      <w:pPr>
        <w:ind w:left="-567"/>
      </w:pPr>
    </w:p>
    <w:p w14:paraId="0E554ED8" w14:textId="77777777" w:rsidR="00C330B2" w:rsidRDefault="00C330B2">
      <w:pPr>
        <w:ind w:left="-567"/>
      </w:pPr>
    </w:p>
    <w:p w14:paraId="79BE66AB" w14:textId="77777777" w:rsidR="00C330B2" w:rsidRDefault="00C330B2">
      <w:pPr>
        <w:ind w:left="-567"/>
      </w:pPr>
    </w:p>
    <w:p w14:paraId="1875A2CA" w14:textId="77777777" w:rsidR="00C330B2" w:rsidRDefault="00C330B2">
      <w:pPr>
        <w:ind w:left="-567"/>
      </w:pPr>
    </w:p>
    <w:p w14:paraId="73F2CBD0" w14:textId="77777777" w:rsidR="00C330B2" w:rsidRDefault="00C330B2">
      <w:pPr>
        <w:ind w:left="-567"/>
      </w:pPr>
    </w:p>
    <w:p w14:paraId="4481DFC0" w14:textId="77777777" w:rsidR="00C330B2" w:rsidRDefault="00C330B2">
      <w:pPr>
        <w:ind w:left="-567"/>
      </w:pPr>
    </w:p>
    <w:p w14:paraId="4571A5E3" w14:textId="77777777" w:rsidR="00C330B2" w:rsidRDefault="00C330B2">
      <w:pPr>
        <w:ind w:left="-567"/>
      </w:pPr>
    </w:p>
    <w:p w14:paraId="33F5C6D7" w14:textId="77777777" w:rsidR="00C330B2" w:rsidRDefault="00517B2D">
      <w:pPr>
        <w:ind w:left="-567"/>
      </w:pPr>
      <w:r>
        <w:rPr>
          <w:noProof/>
          <w:lang w:val="en-US"/>
        </w:rPr>
        <mc:AlternateContent>
          <mc:Choice Requires="wps">
            <w:drawing>
              <wp:anchor distT="0" distB="0" distL="114300" distR="114300" simplePos="0" relativeHeight="251657728" behindDoc="1" locked="0" layoutInCell="1" allowOverlap="1" wp14:anchorId="5567BE85" wp14:editId="0804DEB8">
                <wp:simplePos x="0" y="0"/>
                <wp:positionH relativeFrom="column">
                  <wp:posOffset>-291465</wp:posOffset>
                </wp:positionH>
                <wp:positionV relativeFrom="paragraph">
                  <wp:posOffset>167640</wp:posOffset>
                </wp:positionV>
                <wp:extent cx="52578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rgbClr val="890029"/>
                        </a:solidFill>
                        <a:ln w="9525">
                          <a:solidFill>
                            <a:srgbClr val="890029"/>
                          </a:solidFill>
                          <a:miter lim="800000"/>
                          <a:headEnd/>
                          <a:tailEnd/>
                        </a:ln>
                      </wps:spPr>
                      <wps:txbx>
                        <w:txbxContent>
                          <w:p w14:paraId="0D7DBAA7" w14:textId="77777777" w:rsidR="006E0A32" w:rsidRDefault="006E0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2.9pt;margin-top:13.2pt;width:414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" fillcolor="#890029" strokecolor="#890029">
                <v:textbox>
                  <w:txbxContent>
                    <w:p w14:paraId="0D7DBAA7" w14:textId="77777777" w:rsidR="002A15F8" w:rsidRDefault="002A15F8"/>
                  </w:txbxContent>
                </v:textbox>
              </v:shape>
            </w:pict>
          </mc:Fallback>
        </mc:AlternateContent>
      </w:r>
    </w:p>
    <w:p w14:paraId="76D9E39E" w14:textId="77777777" w:rsidR="00C330B2" w:rsidRDefault="00C330B2">
      <w:pPr>
        <w:ind w:left="-567"/>
      </w:pPr>
    </w:p>
    <w:p w14:paraId="1FFE2979" w14:textId="77777777" w:rsidR="00C330B2" w:rsidRDefault="00C330B2">
      <w:pPr>
        <w:ind w:left="-567"/>
      </w:pPr>
    </w:p>
    <w:p w14:paraId="7489D135" w14:textId="77777777" w:rsidR="00C330B2" w:rsidRDefault="00C330B2">
      <w:pPr>
        <w:ind w:left="-567"/>
      </w:pPr>
    </w:p>
    <w:p w14:paraId="662BDEAE" w14:textId="77777777" w:rsidR="00C330B2" w:rsidRDefault="00C330B2">
      <w:pPr>
        <w:ind w:left="-567"/>
      </w:pPr>
    </w:p>
    <w:p w14:paraId="3C0A9FF0" w14:textId="77777777" w:rsidR="00C330B2" w:rsidRDefault="00C330B2">
      <w:pPr>
        <w:ind w:left="-567"/>
      </w:pPr>
    </w:p>
    <w:p w14:paraId="7EA69526" w14:textId="77777777" w:rsidR="00C330B2" w:rsidRDefault="00C330B2">
      <w:pPr>
        <w:ind w:left="-567"/>
      </w:pPr>
    </w:p>
    <w:p w14:paraId="57B4C046" w14:textId="77777777" w:rsidR="00C330B2" w:rsidRDefault="00C330B2">
      <w:pPr>
        <w:ind w:left="-567"/>
      </w:pPr>
    </w:p>
    <w:p w14:paraId="4C4125CE" w14:textId="77777777" w:rsidR="00C330B2" w:rsidRDefault="00C330B2">
      <w:pPr>
        <w:ind w:left="-567"/>
      </w:pPr>
    </w:p>
    <w:p w14:paraId="7A542AA5" w14:textId="77777777" w:rsidR="00C330B2" w:rsidRDefault="00C330B2">
      <w:pPr>
        <w:ind w:left="-567"/>
      </w:pPr>
    </w:p>
    <w:p w14:paraId="09F501D8" w14:textId="77777777" w:rsidR="00C330B2" w:rsidRDefault="00C330B2">
      <w:pPr>
        <w:ind w:left="-567"/>
      </w:pPr>
    </w:p>
    <w:p w14:paraId="17545F5D" w14:textId="77777777" w:rsidR="00C330B2" w:rsidRDefault="00C330B2">
      <w:pPr>
        <w:ind w:left="-567"/>
      </w:pPr>
    </w:p>
    <w:p w14:paraId="1ADB267D" w14:textId="77777777" w:rsidR="00C330B2" w:rsidRDefault="00517B2D">
      <w:pPr>
        <w:ind w:left="-567"/>
      </w:pPr>
      <w:r>
        <w:rPr>
          <w:noProof/>
          <w:lang w:val="en-US"/>
        </w:rPr>
        <mc:AlternateContent>
          <mc:Choice Requires="wps">
            <w:drawing>
              <wp:anchor distT="0" distB="0" distL="114300" distR="114300" simplePos="0" relativeHeight="251658752" behindDoc="0" locked="0" layoutInCell="1" allowOverlap="1" wp14:anchorId="3DE0E99F" wp14:editId="786F5C1D">
                <wp:simplePos x="0" y="0"/>
                <wp:positionH relativeFrom="column">
                  <wp:posOffset>622935</wp:posOffset>
                </wp:positionH>
                <wp:positionV relativeFrom="paragraph">
                  <wp:posOffset>167639</wp:posOffset>
                </wp:positionV>
                <wp:extent cx="5029200" cy="799465"/>
                <wp:effectExtent l="0" t="0" r="25400" b="133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99465"/>
                        </a:xfrm>
                        <a:prstGeom prst="rect">
                          <a:avLst/>
                        </a:prstGeom>
                        <a:solidFill>
                          <a:srgbClr val="FFFFFF"/>
                        </a:solidFill>
                        <a:ln w="9525">
                          <a:solidFill>
                            <a:srgbClr val="000000"/>
                          </a:solidFill>
                          <a:miter lim="800000"/>
                          <a:headEnd/>
                          <a:tailEnd/>
                        </a:ln>
                      </wps:spPr>
                      <wps:txbx>
                        <w:txbxContent>
                          <w:p w14:paraId="42D908B0" w14:textId="77777777" w:rsidR="006E0A32" w:rsidRDefault="006E0A32" w:rsidP="006A28BE">
                            <w:pPr>
                              <w:pStyle w:val="DateAuthor"/>
                            </w:pPr>
                            <w:r>
                              <w:t xml:space="preserve">Kristal Burry, Policy Officer </w:t>
                            </w:r>
                          </w:p>
                          <w:p w14:paraId="1B2F2F0B" w14:textId="77777777" w:rsidR="006E0A32" w:rsidRDefault="006E0A32" w:rsidP="006A28BE">
                            <w:pPr>
                              <w:pStyle w:val="DateAuthor"/>
                            </w:pPr>
                            <w:r>
                              <w:t>Energy + Water Consumers’ Advocacy Program</w:t>
                            </w:r>
                          </w:p>
                          <w:p w14:paraId="7C2C6A12" w14:textId="77777777" w:rsidR="006E0A32" w:rsidRDefault="006E0A32" w:rsidP="00705E1E">
                            <w:pPr>
                              <w:pStyle w:val="DateAutho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9.05pt;margin-top:13.2pt;width:396pt;height:6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">
                <v:textbox inset="5mm,,5mm">
                  <w:txbxContent>
                    <w:p w14:paraId="42D908B0" w14:textId="77777777" w:rsidR="002A15F8" w:rsidRDefault="002A15F8" w:rsidP="006A28BE">
                      <w:pPr>
                        <w:pStyle w:val="DateAuthor"/>
                      </w:pPr>
                      <w:r>
                        <w:t xml:space="preserve">Kristal Burry, Policy Officer </w:t>
                      </w:r>
                    </w:p>
                    <w:p w14:paraId="1B2F2F0B" w14:textId="77777777" w:rsidR="002A15F8" w:rsidRDefault="002A15F8" w:rsidP="006A28BE">
                      <w:pPr>
                        <w:pStyle w:val="DateAuthor"/>
                      </w:pPr>
                      <w:r>
                        <w:t>Energy + Water Consumers’ Advocacy Program</w:t>
                      </w:r>
                    </w:p>
                    <w:p w14:paraId="7C2C6A12" w14:textId="77777777" w:rsidR="002A15F8" w:rsidRDefault="002A15F8" w:rsidP="00705E1E">
                      <w:pPr>
                        <w:pStyle w:val="DateAuthor"/>
                      </w:pPr>
                    </w:p>
                  </w:txbxContent>
                </v:textbox>
              </v:shape>
            </w:pict>
          </mc:Fallback>
        </mc:AlternateContent>
      </w:r>
    </w:p>
    <w:p w14:paraId="6460499F" w14:textId="77777777" w:rsidR="00C330B2" w:rsidRDefault="00C330B2">
      <w:pPr>
        <w:ind w:left="-567"/>
      </w:pPr>
    </w:p>
    <w:p w14:paraId="5CF54C26" w14:textId="77777777" w:rsidR="00C330B2" w:rsidRDefault="00C330B2">
      <w:pPr>
        <w:ind w:left="-567"/>
      </w:pPr>
    </w:p>
    <w:p w14:paraId="49774384" w14:textId="77777777" w:rsidR="00C330B2" w:rsidRDefault="00C330B2">
      <w:pPr>
        <w:ind w:left="-567"/>
      </w:pPr>
    </w:p>
    <w:p w14:paraId="7F660680" w14:textId="77777777" w:rsidR="00C330B2" w:rsidRDefault="00C330B2">
      <w:pPr>
        <w:ind w:left="-567"/>
      </w:pPr>
    </w:p>
    <w:p w14:paraId="08145DC1" w14:textId="77777777" w:rsidR="00C330B2" w:rsidRDefault="00C330B2">
      <w:pPr>
        <w:ind w:left="-567"/>
      </w:pPr>
    </w:p>
    <w:p w14:paraId="105D7554" w14:textId="77777777" w:rsidR="00C330B2" w:rsidRDefault="00C330B2">
      <w:pPr>
        <w:ind w:left="-567"/>
      </w:pPr>
    </w:p>
    <w:p w14:paraId="6C6AE48A" w14:textId="77777777" w:rsidR="00C330B2" w:rsidRDefault="00C330B2">
      <w:pPr>
        <w:ind w:left="-567"/>
      </w:pPr>
    </w:p>
    <w:p w14:paraId="5BCE77D8" w14:textId="77777777" w:rsidR="00C330B2" w:rsidRDefault="00C330B2">
      <w:pPr>
        <w:ind w:left="-567"/>
      </w:pPr>
    </w:p>
    <w:p w14:paraId="1AD88119" w14:textId="77777777" w:rsidR="00C330B2" w:rsidRDefault="00C330B2">
      <w:pPr>
        <w:ind w:left="-567"/>
      </w:pPr>
    </w:p>
    <w:p w14:paraId="7EDD5792" w14:textId="77777777" w:rsidR="00C330B2" w:rsidRDefault="00C330B2">
      <w:pPr>
        <w:ind w:left="-567"/>
      </w:pPr>
    </w:p>
    <w:p w14:paraId="0C7584C9" w14:textId="77777777" w:rsidR="00C330B2" w:rsidRDefault="00C330B2">
      <w:pPr>
        <w:ind w:left="-567"/>
      </w:pPr>
    </w:p>
    <w:p w14:paraId="1373D988" w14:textId="77777777" w:rsidR="00C330B2" w:rsidRDefault="00C330B2">
      <w:pPr>
        <w:ind w:left="-567"/>
      </w:pPr>
    </w:p>
    <w:p w14:paraId="5E6CE6F5" w14:textId="77777777" w:rsidR="00C330B2" w:rsidRDefault="00C330B2">
      <w:pPr>
        <w:ind w:left="-567"/>
      </w:pPr>
    </w:p>
    <w:p w14:paraId="12E539D2" w14:textId="77777777" w:rsidR="00C330B2" w:rsidRDefault="00521EFA" w:rsidP="00521EFA">
      <w:pPr>
        <w:tabs>
          <w:tab w:val="left" w:pos="427"/>
        </w:tabs>
        <w:ind w:left="-567"/>
      </w:pPr>
      <w:r>
        <w:tab/>
      </w:r>
    </w:p>
    <w:p w14:paraId="7EE7E794" w14:textId="77777777" w:rsidR="00521EFA" w:rsidRDefault="00521EFA" w:rsidP="00521EFA">
      <w:pPr>
        <w:tabs>
          <w:tab w:val="left" w:pos="427"/>
        </w:tabs>
        <w:ind w:left="-567"/>
      </w:pPr>
    </w:p>
    <w:p w14:paraId="21AC251C" w14:textId="77777777" w:rsidR="00521EFA" w:rsidRDefault="00521EFA" w:rsidP="00521EFA">
      <w:pPr>
        <w:tabs>
          <w:tab w:val="left" w:pos="427"/>
        </w:tabs>
        <w:ind w:left="-567"/>
      </w:pPr>
    </w:p>
    <w:p w14:paraId="64185EE3" w14:textId="77777777" w:rsidR="00521EFA" w:rsidRDefault="00521EFA" w:rsidP="00521EFA">
      <w:pPr>
        <w:tabs>
          <w:tab w:val="left" w:pos="427"/>
        </w:tabs>
        <w:ind w:left="-567"/>
      </w:pPr>
    </w:p>
    <w:p w14:paraId="15FD21C1" w14:textId="77777777" w:rsidR="00521EFA" w:rsidRDefault="00521EFA" w:rsidP="00521EFA">
      <w:pPr>
        <w:tabs>
          <w:tab w:val="left" w:pos="427"/>
        </w:tabs>
        <w:ind w:left="-567"/>
      </w:pPr>
    </w:p>
    <w:p w14:paraId="2B04A32F" w14:textId="77777777" w:rsidR="00521EFA" w:rsidRDefault="00521EFA" w:rsidP="00521EFA">
      <w:pPr>
        <w:tabs>
          <w:tab w:val="left" w:pos="427"/>
        </w:tabs>
        <w:ind w:left="-567"/>
      </w:pPr>
    </w:p>
    <w:p w14:paraId="6BF51325" w14:textId="77777777" w:rsidR="00521EFA" w:rsidRDefault="00521EFA" w:rsidP="00521EFA">
      <w:pPr>
        <w:tabs>
          <w:tab w:val="left" w:pos="427"/>
        </w:tabs>
        <w:ind w:left="-567"/>
      </w:pPr>
    </w:p>
    <w:p w14:paraId="33EC60D0" w14:textId="77777777" w:rsidR="00C330B2" w:rsidRDefault="00C330B2">
      <w:pPr>
        <w:ind w:left="-567"/>
      </w:pPr>
    </w:p>
    <w:p w14:paraId="0E4AD479" w14:textId="77777777" w:rsidR="00C330B2" w:rsidRDefault="00C330B2">
      <w:pPr>
        <w:ind w:left="-567"/>
      </w:pPr>
    </w:p>
    <w:p w14:paraId="67C5CF51" w14:textId="77777777" w:rsidR="00C330B2" w:rsidRDefault="00C330B2">
      <w:pPr>
        <w:ind w:left="-567"/>
      </w:pPr>
    </w:p>
    <w:p w14:paraId="2AAF3A75" w14:textId="77777777" w:rsidR="00C330B2" w:rsidRDefault="00C330B2">
      <w:pPr>
        <w:ind w:left="-567"/>
      </w:pPr>
    </w:p>
    <w:p w14:paraId="1F6260CA" w14:textId="77777777" w:rsidR="00C330B2" w:rsidRDefault="00C330B2">
      <w:pPr>
        <w:ind w:left="-567"/>
      </w:pPr>
    </w:p>
    <w:p w14:paraId="1C27E766" w14:textId="77777777" w:rsidR="00C330B2" w:rsidRDefault="00C330B2"/>
    <w:p w14:paraId="41E4E881" w14:textId="77777777" w:rsidR="00C330B2" w:rsidRDefault="00C330B2">
      <w:pPr>
        <w:sectPr w:rsidR="00C330B2">
          <w:headerReference w:type="default" r:id="rId9"/>
          <w:footerReference w:type="default" r:id="rId10"/>
          <w:pgSz w:w="11901" w:h="16840"/>
          <w:pgMar w:top="4253" w:right="992" w:bottom="1134" w:left="1418" w:header="851" w:footer="822" w:gutter="0"/>
          <w:cols w:space="720"/>
        </w:sectPr>
      </w:pPr>
    </w:p>
    <w:p w14:paraId="05B87C67" w14:textId="77777777" w:rsidR="00C330B2" w:rsidRPr="00E14658" w:rsidRDefault="00C330B2" w:rsidP="00E4628C">
      <w:pPr>
        <w:pStyle w:val="Heading1"/>
      </w:pPr>
      <w:bookmarkStart w:id="0" w:name="_Toc113434256"/>
      <w:r w:rsidRPr="00E14658">
        <w:t xml:space="preserve">The Public </w:t>
      </w:r>
      <w:r w:rsidRPr="00705E1E">
        <w:t>Interest</w:t>
      </w:r>
      <w:r w:rsidRPr="00E14658">
        <w:t xml:space="preserve"> Advocacy Centre</w:t>
      </w:r>
      <w:bookmarkEnd w:id="0"/>
    </w:p>
    <w:p w14:paraId="11891F3D" w14:textId="77777777" w:rsidR="00C330B2" w:rsidRDefault="00C330B2" w:rsidP="00C330B2">
      <w:r>
        <w:t>The Public Interest Advocacy Centre (PIAC) is an independent, non-profit law and policy organisation that works for a fair, just and democratic society, empowering citizens, consumers and communities by taking strategic action on public interest issues.</w:t>
      </w:r>
    </w:p>
    <w:p w14:paraId="548013E4" w14:textId="77777777" w:rsidR="00C330B2" w:rsidRDefault="00C330B2"/>
    <w:p w14:paraId="5087FC86" w14:textId="77777777" w:rsidR="00C330B2" w:rsidRDefault="00C330B2">
      <w:r>
        <w:t>PIAC identifies public interest issues and, where possible and appropriate, works co-operatively with other organisations to advocate for individuals and groups affected. PIAC seeks to:</w:t>
      </w:r>
    </w:p>
    <w:p w14:paraId="0BEF93B3" w14:textId="77777777" w:rsidR="00C330B2" w:rsidRDefault="00C330B2"/>
    <w:p w14:paraId="0101E68A" w14:textId="77777777" w:rsidR="00C330B2" w:rsidRDefault="00C330B2">
      <w:pPr>
        <w:pStyle w:val="BullettedList"/>
      </w:pPr>
      <w:proofErr w:type="gramStart"/>
      <w:r>
        <w:t>expose</w:t>
      </w:r>
      <w:proofErr w:type="gramEnd"/>
      <w:r>
        <w:t xml:space="preserve"> and redress unjust or unsafe practices, deficient laws or policies;</w:t>
      </w:r>
    </w:p>
    <w:p w14:paraId="40F5EB90" w14:textId="77777777" w:rsidR="00C330B2" w:rsidRDefault="00C330B2">
      <w:pPr>
        <w:pStyle w:val="BullettedList"/>
      </w:pPr>
      <w:proofErr w:type="gramStart"/>
      <w:r>
        <w:t>promote</w:t>
      </w:r>
      <w:proofErr w:type="gramEnd"/>
      <w:r>
        <w:t xml:space="preserve"> accountable, transparent and responsive government;</w:t>
      </w:r>
    </w:p>
    <w:p w14:paraId="355ACC54" w14:textId="77777777" w:rsidR="00C330B2" w:rsidRDefault="00C330B2" w:rsidP="00C330B2">
      <w:pPr>
        <w:pStyle w:val="BullettedList"/>
      </w:pPr>
      <w:proofErr w:type="gramStart"/>
      <w:r>
        <w:t>encourage</w:t>
      </w:r>
      <w:proofErr w:type="gramEnd"/>
      <w:r>
        <w:t xml:space="preserve">, influence and inform public debate on issues affecting </w:t>
      </w:r>
      <w:r w:rsidR="004B4501">
        <w:t>legal and democratic rights;</w:t>
      </w:r>
    </w:p>
    <w:p w14:paraId="775D8FB9" w14:textId="77777777" w:rsidR="00C330B2" w:rsidRDefault="00C330B2">
      <w:pPr>
        <w:pStyle w:val="BullettedList"/>
      </w:pPr>
      <w:proofErr w:type="gramStart"/>
      <w:r>
        <w:t>promote</w:t>
      </w:r>
      <w:proofErr w:type="gramEnd"/>
      <w:r>
        <w:t xml:space="preserve"> the development of law that reflects the public interest;</w:t>
      </w:r>
    </w:p>
    <w:p w14:paraId="5B5FAAE9" w14:textId="77777777" w:rsidR="00C330B2" w:rsidRDefault="00C330B2">
      <w:pPr>
        <w:pStyle w:val="BullettedList"/>
      </w:pPr>
      <w:proofErr w:type="gramStart"/>
      <w:r>
        <w:t>develop</w:t>
      </w:r>
      <w:proofErr w:type="gramEnd"/>
      <w:r>
        <w:t xml:space="preserve"> and assist community organisations with a public interest focus to pursue the interests of the communities they represent;</w:t>
      </w:r>
    </w:p>
    <w:p w14:paraId="002C8C7B" w14:textId="77777777" w:rsidR="00C330B2" w:rsidRDefault="00C330B2">
      <w:pPr>
        <w:pStyle w:val="BullettedList"/>
      </w:pPr>
      <w:proofErr w:type="gramStart"/>
      <w:r>
        <w:t>develop</w:t>
      </w:r>
      <w:proofErr w:type="gramEnd"/>
      <w:r>
        <w:t xml:space="preserve"> models to respond to unmet legal need; and</w:t>
      </w:r>
    </w:p>
    <w:p w14:paraId="48160A5F" w14:textId="77777777" w:rsidR="00C330B2" w:rsidRPr="00EC7B6E" w:rsidRDefault="00C330B2" w:rsidP="00C330B2">
      <w:pPr>
        <w:pStyle w:val="BullettedList"/>
      </w:pPr>
      <w:proofErr w:type="gramStart"/>
      <w:r w:rsidRPr="00EC7B6E">
        <w:t>maintain</w:t>
      </w:r>
      <w:proofErr w:type="gramEnd"/>
      <w:r w:rsidRPr="00EC7B6E">
        <w:t xml:space="preserve"> an effective and sustainable organisation.</w:t>
      </w:r>
    </w:p>
    <w:p w14:paraId="1098C77E" w14:textId="77777777" w:rsidR="00C330B2" w:rsidRDefault="00C330B2"/>
    <w:p w14:paraId="5029DAA1" w14:textId="77777777" w:rsidR="00C330B2" w:rsidRDefault="00C330B2" w:rsidP="00C330B2">
      <w:r>
        <w:t xml:space="preserve">Established in July 1982 as an initiative of the (then) Law Foundation of New South Wales, with support from the NSW Legal Aid Commission, PIAC was the first, and remains the only broadly based public interest legal centre in Australia.  Financial support for PIAC comes primarily from the NSW Public Purpose Fund and the Commonwealth and State Community Legal Services Program.  PIAC also receives funding from </w:t>
      </w:r>
      <w:r w:rsidR="004B4501">
        <w:t>NSW</w:t>
      </w:r>
      <w:r w:rsidR="003D7878">
        <w:t xml:space="preserve"> Trade</w:t>
      </w:r>
      <w:r>
        <w:t xml:space="preserve"> and Investment</w:t>
      </w:r>
      <w:r w:rsidR="003D7878">
        <w:t xml:space="preserve"> </w:t>
      </w:r>
      <w:r>
        <w:t xml:space="preserve">for its work on energy and water, and from </w:t>
      </w:r>
      <w:proofErr w:type="spellStart"/>
      <w:r>
        <w:t>Allens</w:t>
      </w:r>
      <w:proofErr w:type="spellEnd"/>
      <w:r>
        <w:t xml:space="preserve"> for its Indigenous Justice Program.  PIAC also generates income from project and case grants, seminars, consultancy fees, donations and recovery of costs in legal actions.</w:t>
      </w:r>
    </w:p>
    <w:p w14:paraId="70B5329E" w14:textId="661868D1" w:rsidR="006A28BE" w:rsidRDefault="006A28BE" w:rsidP="006A28BE">
      <w:pPr>
        <w:pStyle w:val="Heading2"/>
      </w:pPr>
      <w:bookmarkStart w:id="1" w:name="_Toc113434258"/>
      <w:r>
        <w:t>Energy + Water Consumers</w:t>
      </w:r>
      <w:r w:rsidR="0059153F">
        <w:t>’</w:t>
      </w:r>
      <w:r>
        <w:t xml:space="preserve"> Advocacy Program </w:t>
      </w:r>
    </w:p>
    <w:p w14:paraId="7263D952" w14:textId="77777777" w:rsidR="006A28BE" w:rsidRDefault="006A28BE" w:rsidP="006A28BE">
      <w:r>
        <w:t>This Program was established at PIAC as the Utilities Consumer’s Advocacy Program in 1998 with NSW Government funding. The aim of the program is to develop policy and advocate in the interests of low-income and other residential consumers in the NSW energy and water markets. PIAC receives policy input to the program from a community-based reference group whose members include:</w:t>
      </w:r>
    </w:p>
    <w:p w14:paraId="7B951DCA" w14:textId="77777777" w:rsidR="006A28BE" w:rsidRDefault="006A28BE" w:rsidP="006A28BE"/>
    <w:p w14:paraId="22A4CA17" w14:textId="77777777" w:rsidR="006A28BE" w:rsidRDefault="006A28BE" w:rsidP="006A28BE">
      <w:pPr>
        <w:pStyle w:val="BullettedList"/>
      </w:pPr>
      <w:r>
        <w:t>Council of Social Service of NSW (NCOSS);</w:t>
      </w:r>
    </w:p>
    <w:p w14:paraId="26E9AA00" w14:textId="77777777" w:rsidR="006A28BE" w:rsidRDefault="006A28BE" w:rsidP="006A28BE">
      <w:pPr>
        <w:pStyle w:val="BullettedList"/>
      </w:pPr>
      <w:r>
        <w:t>Combined Pensioners and Superannuants Association of NSW;</w:t>
      </w:r>
    </w:p>
    <w:p w14:paraId="6D2B8D13" w14:textId="77777777" w:rsidR="006A28BE" w:rsidRDefault="006A28BE" w:rsidP="006A28BE">
      <w:pPr>
        <w:pStyle w:val="BullettedList"/>
      </w:pPr>
      <w:r>
        <w:t>Tenants Union of NSW;</w:t>
      </w:r>
    </w:p>
    <w:p w14:paraId="3AD01241" w14:textId="77777777" w:rsidR="006A28BE" w:rsidRDefault="006A28BE" w:rsidP="006A28BE">
      <w:pPr>
        <w:pStyle w:val="BullettedList"/>
      </w:pPr>
      <w:r>
        <w:t>Ethnic Communities Council of NSW;</w:t>
      </w:r>
    </w:p>
    <w:p w14:paraId="5B59274C" w14:textId="77777777" w:rsidR="006A28BE" w:rsidRDefault="006A28BE" w:rsidP="006A28BE">
      <w:pPr>
        <w:pStyle w:val="BullettedList"/>
      </w:pPr>
      <w:r>
        <w:t xml:space="preserve">Physical Disability Council of NSW; </w:t>
      </w:r>
    </w:p>
    <w:p w14:paraId="064566BB" w14:textId="77777777" w:rsidR="006A28BE" w:rsidRDefault="006A28BE" w:rsidP="006A28BE">
      <w:pPr>
        <w:pStyle w:val="BullettedList"/>
      </w:pPr>
      <w:r>
        <w:t>St Vincent de Paul Society of NSW; and</w:t>
      </w:r>
    </w:p>
    <w:p w14:paraId="2F82B86D" w14:textId="77777777" w:rsidR="006A28BE" w:rsidRDefault="006A28BE" w:rsidP="006A28BE">
      <w:pPr>
        <w:pStyle w:val="BullettedList"/>
      </w:pPr>
      <w:r>
        <w:rPr>
          <w:szCs w:val="22"/>
        </w:rPr>
        <w:t>Good Shepherd Microfinance</w:t>
      </w:r>
      <w:r>
        <w:t xml:space="preserve">. </w:t>
      </w:r>
    </w:p>
    <w:bookmarkEnd w:id="1"/>
    <w:p w14:paraId="44E9F2AE" w14:textId="77777777" w:rsidR="00C330B2" w:rsidRPr="00D802F5" w:rsidRDefault="00C330B2" w:rsidP="00C330B2"/>
    <w:p w14:paraId="5E0FE92E" w14:textId="77777777" w:rsidR="00C330B2" w:rsidRDefault="00C330B2" w:rsidP="00635B53">
      <w:pPr>
        <w:pStyle w:val="Heading1"/>
      </w:pPr>
      <w:bookmarkStart w:id="2" w:name="_Toc113434260"/>
      <w:r>
        <w:br w:type="page"/>
      </w:r>
      <w:bookmarkEnd w:id="2"/>
      <w:r w:rsidR="00E4628C">
        <w:t xml:space="preserve">Introduction </w:t>
      </w:r>
    </w:p>
    <w:p w14:paraId="544C189F" w14:textId="306A0E46" w:rsidR="00C330B2" w:rsidRPr="007B1FA3" w:rsidRDefault="00E4628C">
      <w:pPr>
        <w:rPr>
          <w:lang w:val="en-US"/>
        </w:rPr>
      </w:pPr>
      <w:r>
        <w:t xml:space="preserve">PIAC welcomes the opportunity to comment on </w:t>
      </w:r>
      <w:r w:rsidR="00E26389">
        <w:t>IPART</w:t>
      </w:r>
      <w:r w:rsidR="00EC0DD5">
        <w:t>’</w:t>
      </w:r>
      <w:r w:rsidR="00E26389">
        <w:t xml:space="preserve">s draft </w:t>
      </w:r>
      <w:r w:rsidR="005D5FB6">
        <w:t xml:space="preserve">price </w:t>
      </w:r>
      <w:r w:rsidR="00E26389">
        <w:t>determination</w:t>
      </w:r>
      <w:r w:rsidR="00EF2B67">
        <w:t>s</w:t>
      </w:r>
      <w:r w:rsidR="00E26389">
        <w:t xml:space="preserve"> for </w:t>
      </w:r>
      <w:r w:rsidR="00E26389" w:rsidRPr="00E26389">
        <w:rPr>
          <w:lang w:val="en-US"/>
        </w:rPr>
        <w:t>Sydney Water</w:t>
      </w:r>
      <w:bookmarkStart w:id="3" w:name="_Ref321744742"/>
      <w:r w:rsidR="008A438A">
        <w:rPr>
          <w:rStyle w:val="FootnoteReference"/>
          <w:lang w:val="en-US"/>
        </w:rPr>
        <w:footnoteReference w:id="1"/>
      </w:r>
      <w:bookmarkEnd w:id="3"/>
      <w:r w:rsidR="00EC0DD5">
        <w:rPr>
          <w:lang w:val="en-US"/>
        </w:rPr>
        <w:t xml:space="preserve"> </w:t>
      </w:r>
      <w:r w:rsidR="00E26389">
        <w:rPr>
          <w:lang w:val="en-US"/>
        </w:rPr>
        <w:t xml:space="preserve">and Hunter Water </w:t>
      </w:r>
      <w:r w:rsidR="005D5FB6">
        <w:rPr>
          <w:lang w:val="en-US"/>
        </w:rPr>
        <w:t>for</w:t>
      </w:r>
      <w:r w:rsidR="00E26389" w:rsidRPr="00E26389">
        <w:rPr>
          <w:lang w:val="en-US"/>
        </w:rPr>
        <w:t xml:space="preserve"> the 4-year period from 1 July 2016 to 30 June 2020 (the 2016</w:t>
      </w:r>
      <w:r w:rsidR="00E26389">
        <w:rPr>
          <w:lang w:val="en-US"/>
        </w:rPr>
        <w:t xml:space="preserve"> determination period).</w:t>
      </w:r>
      <w:bookmarkStart w:id="4" w:name="_Ref321744792"/>
      <w:r w:rsidR="00C32F47">
        <w:rPr>
          <w:rStyle w:val="FootnoteReference"/>
          <w:lang w:val="en-US"/>
        </w:rPr>
        <w:footnoteReference w:id="2"/>
      </w:r>
      <w:bookmarkEnd w:id="4"/>
      <w:r w:rsidR="008D4214">
        <w:rPr>
          <w:lang w:val="en-US"/>
        </w:rPr>
        <w:t xml:space="preserve"> </w:t>
      </w:r>
      <w:r w:rsidR="00744800">
        <w:rPr>
          <w:lang w:val="en-US"/>
        </w:rPr>
        <w:t>PIAC has previous</w:t>
      </w:r>
      <w:r w:rsidR="00EC0DD5">
        <w:rPr>
          <w:lang w:val="en-US"/>
        </w:rPr>
        <w:t>ly made</w:t>
      </w:r>
      <w:r w:rsidR="00744800">
        <w:rPr>
          <w:lang w:val="en-US"/>
        </w:rPr>
        <w:t xml:space="preserve"> submissions to both the Sydney Water and Hunter Water price proposals and </w:t>
      </w:r>
      <w:r w:rsidR="00EC0DD5">
        <w:rPr>
          <w:lang w:val="en-US"/>
        </w:rPr>
        <w:t xml:space="preserve">to </w:t>
      </w:r>
      <w:r w:rsidR="00744800">
        <w:rPr>
          <w:lang w:val="en-US"/>
        </w:rPr>
        <w:t>IPART</w:t>
      </w:r>
      <w:r w:rsidR="00EC0DD5">
        <w:rPr>
          <w:lang w:val="en-US"/>
        </w:rPr>
        <w:t>’</w:t>
      </w:r>
      <w:r w:rsidR="00744800">
        <w:rPr>
          <w:lang w:val="en-US"/>
        </w:rPr>
        <w:t>s issues paper for both price determinations</w:t>
      </w:r>
      <w:r w:rsidR="00EC0DD5">
        <w:rPr>
          <w:lang w:val="en-US"/>
        </w:rPr>
        <w:t xml:space="preserve">. </w:t>
      </w:r>
      <w:r w:rsidR="005D5FB6">
        <w:rPr>
          <w:lang w:val="en-US"/>
        </w:rPr>
        <w:t>In this submission</w:t>
      </w:r>
      <w:r w:rsidR="00EC0DD5">
        <w:rPr>
          <w:lang w:val="en-US"/>
        </w:rPr>
        <w:t xml:space="preserve"> PIAC </w:t>
      </w:r>
      <w:r w:rsidR="005D5FB6">
        <w:rPr>
          <w:lang w:val="en-US"/>
        </w:rPr>
        <w:t>makes</w:t>
      </w:r>
      <w:r w:rsidR="00EC0DD5">
        <w:rPr>
          <w:lang w:val="en-US"/>
        </w:rPr>
        <w:t xml:space="preserve"> </w:t>
      </w:r>
      <w:r w:rsidR="00744800">
        <w:rPr>
          <w:lang w:val="en-US"/>
        </w:rPr>
        <w:t xml:space="preserve">targeted comments </w:t>
      </w:r>
      <w:r w:rsidR="00DE4CB8">
        <w:rPr>
          <w:lang w:val="en-US"/>
        </w:rPr>
        <w:t xml:space="preserve">that </w:t>
      </w:r>
      <w:r w:rsidR="005D5FB6">
        <w:rPr>
          <w:lang w:val="en-US"/>
        </w:rPr>
        <w:t>generally</w:t>
      </w:r>
      <w:r w:rsidR="00744800">
        <w:rPr>
          <w:lang w:val="en-US"/>
        </w:rPr>
        <w:t xml:space="preserve"> apply to both proposals</w:t>
      </w:r>
      <w:r w:rsidR="005D5FB6">
        <w:rPr>
          <w:lang w:val="en-US"/>
        </w:rPr>
        <w:t>. This submission is in response to both draft determinations.</w:t>
      </w:r>
      <w:r w:rsidR="00744800">
        <w:rPr>
          <w:lang w:val="en-US"/>
        </w:rPr>
        <w:t xml:space="preserve"> </w:t>
      </w:r>
    </w:p>
    <w:p w14:paraId="065967ED" w14:textId="53107F5F" w:rsidR="00C330B2" w:rsidRDefault="00E26389" w:rsidP="006A28BE">
      <w:pPr>
        <w:pStyle w:val="Heading2"/>
      </w:pPr>
      <w:r>
        <w:t xml:space="preserve">Sydney Water </w:t>
      </w:r>
      <w:r w:rsidR="007B1FA3">
        <w:t xml:space="preserve">price </w:t>
      </w:r>
      <w:r>
        <w:t>determination</w:t>
      </w:r>
    </w:p>
    <w:p w14:paraId="2EF4B29C" w14:textId="6FB26E64" w:rsidR="00C330B2" w:rsidRDefault="008149D0">
      <w:r>
        <w:t>In the draft determination</w:t>
      </w:r>
      <w:r w:rsidR="00672FE3">
        <w:t>,</w:t>
      </w:r>
      <w:r>
        <w:t xml:space="preserve"> IPART has </w:t>
      </w:r>
      <w:r w:rsidR="00B8764E">
        <w:t xml:space="preserve">mostly accepted </w:t>
      </w:r>
      <w:r>
        <w:t>Sydney Water</w:t>
      </w:r>
      <w:r w:rsidR="00672FE3">
        <w:t>’</w:t>
      </w:r>
      <w:r>
        <w:t xml:space="preserve">s planned revenue and prices. IPART has determined to </w:t>
      </w:r>
      <w:r w:rsidR="007B1128">
        <w:t xml:space="preserve">further </w:t>
      </w:r>
      <w:r>
        <w:t xml:space="preserve">reduce </w:t>
      </w:r>
      <w:r w:rsidR="00FE2F29">
        <w:t>both cap</w:t>
      </w:r>
      <w:r>
        <w:t xml:space="preserve">ital </w:t>
      </w:r>
      <w:r w:rsidR="00FE2F29">
        <w:t>ex</w:t>
      </w:r>
      <w:r>
        <w:t>penditure</w:t>
      </w:r>
      <w:r w:rsidR="00FE2F29">
        <w:t xml:space="preserve"> and op</w:t>
      </w:r>
      <w:r>
        <w:t>erating expenditure</w:t>
      </w:r>
      <w:r w:rsidR="00FE2F29">
        <w:t xml:space="preserve"> for Sydn</w:t>
      </w:r>
      <w:r w:rsidR="007B1128">
        <w:t>ey Water. T</w:t>
      </w:r>
      <w:r w:rsidR="007C0FAA">
        <w:t xml:space="preserve">his will </w:t>
      </w:r>
      <w:r w:rsidR="00672FE3">
        <w:t xml:space="preserve">result in a </w:t>
      </w:r>
      <w:r w:rsidR="007C0FAA">
        <w:t>reduction in h</w:t>
      </w:r>
      <w:r>
        <w:t xml:space="preserve">ousehold bills. A typical household </w:t>
      </w:r>
      <w:r w:rsidR="00DE4CB8">
        <w:t xml:space="preserve">bill </w:t>
      </w:r>
      <w:r>
        <w:t xml:space="preserve">will </w:t>
      </w:r>
      <w:r w:rsidR="002A7376">
        <w:t xml:space="preserve">decrease by </w:t>
      </w:r>
      <w:r w:rsidR="00BF374F">
        <w:t>$103 (</w:t>
      </w:r>
      <w:r w:rsidR="00672FE3">
        <w:t>$</w:t>
      </w:r>
      <w:r w:rsidR="00BF374F">
        <w:t>33 lower than Sydney Water</w:t>
      </w:r>
      <w:r w:rsidR="00B8764E">
        <w:t>’</w:t>
      </w:r>
      <w:r w:rsidR="00BF374F">
        <w:t>s initial proposal)</w:t>
      </w:r>
      <w:r>
        <w:t xml:space="preserve">, whereas </w:t>
      </w:r>
      <w:r w:rsidR="00BF374F">
        <w:t xml:space="preserve">residents of a </w:t>
      </w:r>
      <w:r>
        <w:t xml:space="preserve">typical apartment will </w:t>
      </w:r>
      <w:r w:rsidR="002A7376">
        <w:t xml:space="preserve">receive a reduction of </w:t>
      </w:r>
      <w:r w:rsidR="00BF374F">
        <w:t>$87 (</w:t>
      </w:r>
      <w:r w:rsidR="00B8764E">
        <w:t>$</w:t>
      </w:r>
      <w:r w:rsidR="00BF374F">
        <w:t>32 lower than Sydney Water</w:t>
      </w:r>
      <w:r w:rsidR="00B8764E">
        <w:t>’</w:t>
      </w:r>
      <w:r w:rsidR="00BF374F">
        <w:t xml:space="preserve">s initial proposal) </w:t>
      </w:r>
      <w:r>
        <w:t>and</w:t>
      </w:r>
      <w:r w:rsidR="002A7376">
        <w:t xml:space="preserve"> a typical</w:t>
      </w:r>
      <w:r>
        <w:t xml:space="preserve"> pensioner</w:t>
      </w:r>
      <w:r w:rsidR="00DF14C7">
        <w:t>s</w:t>
      </w:r>
      <w:r>
        <w:t xml:space="preserve"> </w:t>
      </w:r>
      <w:r w:rsidR="002A7376">
        <w:t xml:space="preserve">bill will be reduced </w:t>
      </w:r>
      <w:r>
        <w:t xml:space="preserve">by </w:t>
      </w:r>
      <w:r w:rsidR="00BF374F">
        <w:t>between $8 and $22</w:t>
      </w:r>
      <w:r>
        <w:t>. PIAC support</w:t>
      </w:r>
      <w:r w:rsidR="00B8764E">
        <w:t>s</w:t>
      </w:r>
      <w:r>
        <w:t xml:space="preserve"> this determination and welcomes the reduction in customer bills.</w:t>
      </w:r>
      <w:r w:rsidR="00E11463">
        <w:rPr>
          <w:rStyle w:val="FootnoteReference"/>
        </w:rPr>
        <w:footnoteReference w:id="3"/>
      </w:r>
      <w:r>
        <w:t xml:space="preserve"> </w:t>
      </w:r>
      <w:r w:rsidR="0056732C">
        <w:t xml:space="preserve"> </w:t>
      </w:r>
    </w:p>
    <w:p w14:paraId="7C74D765" w14:textId="77777777" w:rsidR="00381E9F" w:rsidRDefault="00381E9F"/>
    <w:p w14:paraId="51CD168B" w14:textId="668783EE" w:rsidR="00905951" w:rsidRDefault="00F978B2">
      <w:r>
        <w:t>A</w:t>
      </w:r>
      <w:r w:rsidR="00381E9F">
        <w:t xml:space="preserve"> major contributor to this reduction is the removal of Sydney Water’s old IT system from the Regulated Asset Base (RAB) as Sydney Water is implementing a new billing/IT system. PIAC is supportive of both the move to a more </w:t>
      </w:r>
      <w:r w:rsidR="00905951">
        <w:t>contemporary and innovative billing system and the re</w:t>
      </w:r>
      <w:r w:rsidR="00ED1F65">
        <w:t xml:space="preserve">moval of the old system from the </w:t>
      </w:r>
      <w:r w:rsidR="003C54A8">
        <w:t>RAB</w:t>
      </w:r>
      <w:r w:rsidR="00DF14C7">
        <w:t>,</w:t>
      </w:r>
      <w:r w:rsidR="00905951">
        <w:t xml:space="preserve"> </w:t>
      </w:r>
      <w:r w:rsidR="00DF14C7">
        <w:t xml:space="preserve">on the basis that </w:t>
      </w:r>
      <w:r w:rsidR="00905951">
        <w:t>customers should not be pay</w:t>
      </w:r>
      <w:r w:rsidR="00DF14C7">
        <w:t>ing</w:t>
      </w:r>
      <w:r w:rsidR="00905951">
        <w:t xml:space="preserve"> for a system that will no longer be in use.</w:t>
      </w:r>
      <w:r w:rsidR="00A83D79">
        <w:rPr>
          <w:rStyle w:val="FootnoteReference"/>
        </w:rPr>
        <w:footnoteReference w:id="4"/>
      </w:r>
      <w:r w:rsidR="00905951">
        <w:t xml:space="preserve"> </w:t>
      </w:r>
    </w:p>
    <w:p w14:paraId="2275217B" w14:textId="77777777" w:rsidR="00CC41D4" w:rsidRDefault="00CC41D4"/>
    <w:p w14:paraId="78E82A01" w14:textId="599F3523" w:rsidR="008579FF" w:rsidRDefault="00DF14C7">
      <w:r>
        <w:t xml:space="preserve">PIAC’s </w:t>
      </w:r>
      <w:r w:rsidR="0043000C">
        <w:t xml:space="preserve">previous submission </w:t>
      </w:r>
      <w:r>
        <w:t>supported</w:t>
      </w:r>
      <w:r w:rsidR="00CC41D4">
        <w:t xml:space="preserve"> Sydney Water’s proposal</w:t>
      </w:r>
      <w:r>
        <w:t xml:space="preserve">, and in particular of </w:t>
      </w:r>
      <w:r w:rsidR="00CC41D4">
        <w:t>setting the water usage charge at 1.97</w:t>
      </w:r>
      <w:r>
        <w:t xml:space="preserve">. We </w:t>
      </w:r>
      <w:r w:rsidR="00CC41D4">
        <w:t xml:space="preserve">are pleased to see </w:t>
      </w:r>
      <w:r>
        <w:t xml:space="preserve">that </w:t>
      </w:r>
      <w:r w:rsidR="00CC41D4">
        <w:t>IPART has accepted this</w:t>
      </w:r>
      <w:r>
        <w:t>, given</w:t>
      </w:r>
      <w:r w:rsidR="00CC41D4">
        <w:t xml:space="preserve"> this figure was obtained by consider</w:t>
      </w:r>
      <w:r>
        <w:t>ing</w:t>
      </w:r>
      <w:r w:rsidR="00CC41D4">
        <w:t xml:space="preserve"> customer preference for greater control over their bills.</w:t>
      </w:r>
      <w:r w:rsidR="003B140B">
        <w:rPr>
          <w:rStyle w:val="FootnoteReference"/>
        </w:rPr>
        <w:footnoteReference w:id="5"/>
      </w:r>
      <w:r w:rsidR="00CC41D4">
        <w:t xml:space="preserve"> </w:t>
      </w:r>
    </w:p>
    <w:p w14:paraId="7DA06F28" w14:textId="3ABBF498" w:rsidR="008579FF" w:rsidRDefault="008579FF" w:rsidP="008579FF">
      <w:pPr>
        <w:pStyle w:val="Recommendation"/>
      </w:pPr>
      <w:r>
        <w:t>Recommendation 1</w:t>
      </w:r>
    </w:p>
    <w:p w14:paraId="43E6C2F7" w14:textId="1D129130" w:rsidR="00C330B2" w:rsidRDefault="008579FF" w:rsidP="002578D3">
      <w:pPr>
        <w:pStyle w:val="Recommendationtext"/>
      </w:pPr>
      <w:r>
        <w:t>PIAC supports the adoption of IPART</w:t>
      </w:r>
      <w:r w:rsidR="00DF14C7">
        <w:t>’</w:t>
      </w:r>
      <w:r>
        <w:t xml:space="preserve">s proposed revenue and prices for Sydney Water for the next price determination period. </w:t>
      </w:r>
    </w:p>
    <w:p w14:paraId="06D249DD" w14:textId="3AF3414B" w:rsidR="00C330B2" w:rsidRDefault="00E26389" w:rsidP="00E26389">
      <w:pPr>
        <w:pStyle w:val="Heading2"/>
      </w:pPr>
      <w:r>
        <w:t xml:space="preserve">Hunter Water </w:t>
      </w:r>
      <w:r w:rsidR="007B1FA3">
        <w:t xml:space="preserve">price </w:t>
      </w:r>
      <w:r>
        <w:t xml:space="preserve">determination </w:t>
      </w:r>
    </w:p>
    <w:p w14:paraId="4C684561" w14:textId="0AA54CFF" w:rsidR="00C330B2" w:rsidRDefault="00BF374F">
      <w:r>
        <w:t xml:space="preserve">IPART has proposed </w:t>
      </w:r>
      <w:r w:rsidR="005F004D">
        <w:t xml:space="preserve">accepting </w:t>
      </w:r>
      <w:r>
        <w:t>Hunter Water’s water usage charge of $</w:t>
      </w:r>
      <w:proofErr w:type="gramStart"/>
      <w:r>
        <w:t>2.22</w:t>
      </w:r>
      <w:r w:rsidR="00DF14C7">
        <w:t>,</w:t>
      </w:r>
      <w:proofErr w:type="gramEnd"/>
      <w:r w:rsidR="00DF14C7">
        <w:t xml:space="preserve"> on the basis that c</w:t>
      </w:r>
      <w:r w:rsidR="00153002">
        <w:t>onsumers have indicated this is the preferable option to enable them to have greater control over their bills.</w:t>
      </w:r>
      <w:r w:rsidR="00A83D79">
        <w:rPr>
          <w:rStyle w:val="FootnoteReference"/>
        </w:rPr>
        <w:footnoteReference w:id="6"/>
      </w:r>
    </w:p>
    <w:p w14:paraId="573A6684" w14:textId="77777777" w:rsidR="00C330B2" w:rsidRDefault="00C330B2"/>
    <w:p w14:paraId="31E62327" w14:textId="2221ED9C" w:rsidR="00BF374F" w:rsidRDefault="00ED1F65">
      <w:r>
        <w:t xml:space="preserve">IPART has </w:t>
      </w:r>
      <w:r w:rsidR="00153002">
        <w:t>adjusted the lifespan of</w:t>
      </w:r>
      <w:r>
        <w:t xml:space="preserve"> Hunter Water</w:t>
      </w:r>
      <w:r w:rsidR="00AB48E1">
        <w:t>’</w:t>
      </w:r>
      <w:r>
        <w:t xml:space="preserve">s </w:t>
      </w:r>
      <w:r w:rsidR="004856A2">
        <w:t>asset, which</w:t>
      </w:r>
      <w:r w:rsidR="00153002">
        <w:t xml:space="preserve"> will result in an increase in the depreciation </w:t>
      </w:r>
      <w:r w:rsidR="004856A2">
        <w:t>allowance,</w:t>
      </w:r>
      <w:r w:rsidR="00153002">
        <w:t xml:space="preserve"> as Hunter Water will have less time to pay </w:t>
      </w:r>
      <w:r w:rsidR="00F9526D">
        <w:t xml:space="preserve">for </w:t>
      </w:r>
      <w:r w:rsidR="00153002">
        <w:t>these assets. In addition</w:t>
      </w:r>
      <w:r w:rsidR="00DE5A12">
        <w:t>,</w:t>
      </w:r>
      <w:r w:rsidR="00153002">
        <w:t xml:space="preserve"> IPART has assessed that Hunter Water’s efficient costs are approximately </w:t>
      </w:r>
      <w:r w:rsidR="00DE5A12">
        <w:t>$</w:t>
      </w:r>
      <w:r w:rsidR="00153002">
        <w:t xml:space="preserve">25 million higher than Hunter Water had indicated in its initial pricing proposal. These two factors contribute to an increase in household bills. </w:t>
      </w:r>
      <w:r w:rsidR="000B5E60">
        <w:t>A t</w:t>
      </w:r>
      <w:r w:rsidR="00BF374F">
        <w:t>ypical household bill will increase by $33 ($7 higher than Hunter Water’s proposal)</w:t>
      </w:r>
      <w:r w:rsidR="00DE5A12">
        <w:t xml:space="preserve">. A </w:t>
      </w:r>
      <w:r w:rsidR="00BF374F">
        <w:t xml:space="preserve">typical apartment increase </w:t>
      </w:r>
      <w:r w:rsidR="00DE5A12">
        <w:t xml:space="preserve">will be </w:t>
      </w:r>
      <w:r w:rsidR="00BF374F">
        <w:t>$27</w:t>
      </w:r>
      <w:r w:rsidR="00DE5A12">
        <w:t>,</w:t>
      </w:r>
      <w:r w:rsidR="00BF374F">
        <w:t xml:space="preserve"> which is $9 lower than Hunter Water</w:t>
      </w:r>
      <w:r w:rsidR="00DE5A12">
        <w:t>’</w:t>
      </w:r>
      <w:r w:rsidR="00BF374F">
        <w:t>s proposal</w:t>
      </w:r>
      <w:r w:rsidR="00DE5A12">
        <w:t xml:space="preserve"> </w:t>
      </w:r>
      <w:r w:rsidR="00BF374F">
        <w:t>due to IPART</w:t>
      </w:r>
      <w:r w:rsidR="00DE5A12">
        <w:t>’</w:t>
      </w:r>
      <w:r w:rsidR="00BF374F">
        <w:t>s decision not to equalise sewage service of apartments to that of a free standing house</w:t>
      </w:r>
      <w:r w:rsidR="00DE5A12">
        <w:t>.</w:t>
      </w:r>
      <w:r w:rsidR="00BF374F">
        <w:rPr>
          <w:rStyle w:val="FootnoteReference"/>
        </w:rPr>
        <w:footnoteReference w:id="7"/>
      </w:r>
      <w:r w:rsidR="00BF374F">
        <w:t xml:space="preserve"> Pensioners</w:t>
      </w:r>
      <w:r w:rsidR="00247390">
        <w:t xml:space="preserve"> will see an</w:t>
      </w:r>
      <w:r w:rsidR="00BF374F">
        <w:t xml:space="preserve"> increase of </w:t>
      </w:r>
      <w:r w:rsidR="00D43742">
        <w:t>$</w:t>
      </w:r>
      <w:r w:rsidR="00BF374F">
        <w:t>22</w:t>
      </w:r>
      <w:r w:rsidR="00D43742">
        <w:t xml:space="preserve">, </w:t>
      </w:r>
      <w:r w:rsidR="00BF374F">
        <w:t xml:space="preserve">which </w:t>
      </w:r>
      <w:proofErr w:type="gramStart"/>
      <w:r w:rsidR="00BF374F">
        <w:t>is</w:t>
      </w:r>
      <w:proofErr w:type="gramEnd"/>
      <w:r w:rsidR="00BF374F">
        <w:t xml:space="preserve"> $7 more than Hunter Water</w:t>
      </w:r>
      <w:r w:rsidR="00705953">
        <w:t>’</w:t>
      </w:r>
      <w:r w:rsidR="00BF374F">
        <w:t>s proposal.</w:t>
      </w:r>
      <w:r w:rsidR="005F759D">
        <w:rPr>
          <w:rStyle w:val="FootnoteReference"/>
        </w:rPr>
        <w:footnoteReference w:id="8"/>
      </w:r>
      <w:r w:rsidR="00BF374F">
        <w:t xml:space="preserve"> </w:t>
      </w:r>
    </w:p>
    <w:p w14:paraId="6BF6411F" w14:textId="77777777" w:rsidR="000B5E60" w:rsidRDefault="000B5E60"/>
    <w:p w14:paraId="612D30C7" w14:textId="3559D36C" w:rsidR="000B5E60" w:rsidRDefault="00E227B6">
      <w:r>
        <w:t>IPART has reviewed the asset lives</w:t>
      </w:r>
      <w:r w:rsidR="000B5E60">
        <w:t xml:space="preserve"> for Hunter Water’s</w:t>
      </w:r>
      <w:r>
        <w:t xml:space="preserve"> infrastructure and determined the current asset lives for</w:t>
      </w:r>
      <w:r w:rsidR="000B5E60">
        <w:t xml:space="preserve"> old infrastructure </w:t>
      </w:r>
      <w:r w:rsidR="00F9526D">
        <w:t xml:space="preserve">of </w:t>
      </w:r>
      <w:r w:rsidR="000B5E60">
        <w:t xml:space="preserve">70 years and new </w:t>
      </w:r>
      <w:r w:rsidR="00F9526D">
        <w:t xml:space="preserve">of </w:t>
      </w:r>
      <w:r w:rsidR="000B5E60">
        <w:t>100 years</w:t>
      </w:r>
      <w:r>
        <w:t xml:space="preserve"> is </w:t>
      </w:r>
      <w:r w:rsidR="00F9526D">
        <w:t>too long</w:t>
      </w:r>
      <w:r w:rsidR="000B5E60">
        <w:t xml:space="preserve">. </w:t>
      </w:r>
      <w:r w:rsidR="00DE4CB8">
        <w:t xml:space="preserve">Consulting firm, </w:t>
      </w:r>
      <w:r w:rsidR="005B27A6">
        <w:t>Jacobs</w:t>
      </w:r>
      <w:proofErr w:type="gramStart"/>
      <w:r w:rsidR="00DE4CB8">
        <w:t>,</w:t>
      </w:r>
      <w:r w:rsidR="00D21DF0">
        <w:t>,</w:t>
      </w:r>
      <w:proofErr w:type="gramEnd"/>
      <w:r w:rsidR="00D21DF0">
        <w:t xml:space="preserve"> </w:t>
      </w:r>
      <w:r w:rsidR="00DE4CB8">
        <w:t xml:space="preserve">which </w:t>
      </w:r>
      <w:r w:rsidR="00F9526D">
        <w:t xml:space="preserve">was </w:t>
      </w:r>
      <w:r w:rsidR="000B5E60">
        <w:t>contracted to assess Hunter Water</w:t>
      </w:r>
      <w:r w:rsidR="00D21DF0">
        <w:t>’</w:t>
      </w:r>
      <w:r w:rsidR="000B5E60">
        <w:t>s expenditure</w:t>
      </w:r>
      <w:r w:rsidR="00D21DF0">
        <w:t>,</w:t>
      </w:r>
      <w:r w:rsidR="000B5E60">
        <w:t xml:space="preserve"> determined the new age should be 67 for new assets and 62 for old assets</w:t>
      </w:r>
      <w:r w:rsidR="00DD52D4">
        <w:t>. This is a significant change</w:t>
      </w:r>
      <w:r w:rsidR="00DE4CB8">
        <w:t>,</w:t>
      </w:r>
      <w:r w:rsidR="00DD52D4">
        <w:t xml:space="preserve"> based on reweighting towards assets that have </w:t>
      </w:r>
      <w:r w:rsidR="00F66B7C">
        <w:t xml:space="preserve">a </w:t>
      </w:r>
      <w:r w:rsidR="00DD52D4">
        <w:t xml:space="preserve">shorter lifespan. </w:t>
      </w:r>
      <w:r w:rsidR="00AB48E1">
        <w:t xml:space="preserve">IPART has proposed to transition the lifespan of the assets over the price determination period to smooth out the increase </w:t>
      </w:r>
      <w:r w:rsidR="00F66B7C">
        <w:t xml:space="preserve">for </w:t>
      </w:r>
      <w:r w:rsidR="00AB48E1">
        <w:t>customers.</w:t>
      </w:r>
      <w:r w:rsidR="00595E6D">
        <w:rPr>
          <w:rStyle w:val="FootnoteReference"/>
        </w:rPr>
        <w:footnoteReference w:id="9"/>
      </w:r>
      <w:r w:rsidR="00AB48E1">
        <w:t xml:space="preserve"> </w:t>
      </w:r>
    </w:p>
    <w:p w14:paraId="1B83F955" w14:textId="77777777" w:rsidR="00AB48E1" w:rsidRDefault="00AB48E1"/>
    <w:p w14:paraId="5505FBC2" w14:textId="1FB07B41" w:rsidR="00A42CCC" w:rsidRDefault="005B27A6">
      <w:r>
        <w:t xml:space="preserve">IPART </w:t>
      </w:r>
      <w:r w:rsidR="00F9526D">
        <w:t xml:space="preserve">commissioned </w:t>
      </w:r>
      <w:r>
        <w:t xml:space="preserve">Jacobs to review the asset lives, as this </w:t>
      </w:r>
      <w:r w:rsidR="009100BC">
        <w:t xml:space="preserve">had </w:t>
      </w:r>
      <w:r>
        <w:t>not be</w:t>
      </w:r>
      <w:r w:rsidR="00EA425D">
        <w:t>en</w:t>
      </w:r>
      <w:r>
        <w:t xml:space="preserve"> done for the past 10 years. </w:t>
      </w:r>
      <w:r w:rsidR="00F9526D">
        <w:t>As</w:t>
      </w:r>
      <w:r>
        <w:t xml:space="preserve"> this </w:t>
      </w:r>
      <w:r w:rsidR="00F9526D">
        <w:t xml:space="preserve">is </w:t>
      </w:r>
      <w:r>
        <w:t xml:space="preserve">the first time asset lives </w:t>
      </w:r>
      <w:r w:rsidR="009100BC">
        <w:t xml:space="preserve">have </w:t>
      </w:r>
      <w:r>
        <w:t xml:space="preserve">been reassessed, PIAC considers it </w:t>
      </w:r>
      <w:r w:rsidR="00F9526D">
        <w:t>would be beneficial</w:t>
      </w:r>
      <w:r>
        <w:t xml:space="preserve"> to undertake a more detailed assessment of asset lives</w:t>
      </w:r>
      <w:r w:rsidR="00663E2B">
        <w:t xml:space="preserve"> and the methodology for calculating asset lives. </w:t>
      </w:r>
      <w:r w:rsidR="00F978B2">
        <w:t xml:space="preserve">Given this, PIAC considers </w:t>
      </w:r>
      <w:r w:rsidR="00000536">
        <w:t xml:space="preserve">that it would </w:t>
      </w:r>
      <w:r w:rsidR="00DD1EEE">
        <w:t>be</w:t>
      </w:r>
      <w:r w:rsidR="00000536">
        <w:t xml:space="preserve"> reasonable</w:t>
      </w:r>
      <w:r w:rsidR="00C41BD5">
        <w:t xml:space="preserve"> to smooth the impact of the change in asset lives over not just this price period but over the following</w:t>
      </w:r>
      <w:r w:rsidR="00F10DD5">
        <w:t xml:space="preserve"> period as well,</w:t>
      </w:r>
      <w:r w:rsidR="00C41BD5">
        <w:t xml:space="preserve"> to ensure </w:t>
      </w:r>
      <w:r w:rsidR="00CE7437">
        <w:t xml:space="preserve">that </w:t>
      </w:r>
      <w:r w:rsidR="00C41BD5">
        <w:t xml:space="preserve">there is time to do a more detailed analysis across the utilities. </w:t>
      </w:r>
    </w:p>
    <w:p w14:paraId="125580C2" w14:textId="034C1EFC" w:rsidR="00A42CCC" w:rsidRDefault="006573D4" w:rsidP="006573D4">
      <w:pPr>
        <w:pStyle w:val="Recommendation"/>
      </w:pPr>
      <w:r>
        <w:t>Recommendation 2</w:t>
      </w:r>
    </w:p>
    <w:p w14:paraId="70BBE48D" w14:textId="2A459B61" w:rsidR="00C41BD5" w:rsidRDefault="006573D4" w:rsidP="006573D4">
      <w:pPr>
        <w:pStyle w:val="Recommendationtext"/>
      </w:pPr>
      <w:r>
        <w:t xml:space="preserve">PIAC </w:t>
      </w:r>
      <w:r w:rsidR="00C41BD5">
        <w:t>recommends that IPART conduct or commission a more detailed analysis of the methodology to calculate asset lives.</w:t>
      </w:r>
    </w:p>
    <w:p w14:paraId="5E432858" w14:textId="49DD830D" w:rsidR="00C41BD5" w:rsidRDefault="00C41BD5" w:rsidP="00C41BD5">
      <w:pPr>
        <w:pStyle w:val="Recommendation"/>
      </w:pPr>
      <w:r>
        <w:t>Recommendation 3</w:t>
      </w:r>
    </w:p>
    <w:p w14:paraId="3D92F569" w14:textId="6D4F0DEC" w:rsidR="00C41BD5" w:rsidRPr="00C41BD5" w:rsidRDefault="00C41BD5" w:rsidP="00C41BD5">
      <w:pPr>
        <w:pStyle w:val="Recommendationtext"/>
      </w:pPr>
      <w:r>
        <w:t xml:space="preserve">PIAC recommends the transition to the lower asset lives be </w:t>
      </w:r>
      <w:r w:rsidR="009A52F9">
        <w:t>smoothed</w:t>
      </w:r>
      <w:r>
        <w:t xml:space="preserve"> </w:t>
      </w:r>
      <w:r w:rsidR="0004765C">
        <w:t xml:space="preserve">over </w:t>
      </w:r>
      <w:r w:rsidR="00F9526D">
        <w:t xml:space="preserve">two </w:t>
      </w:r>
      <w:r>
        <w:t>price period</w:t>
      </w:r>
      <w:r w:rsidR="00F9526D">
        <w:t>s</w:t>
      </w:r>
      <w:r>
        <w:t xml:space="preserve"> to enable time for </w:t>
      </w:r>
      <w:r w:rsidR="0002495A">
        <w:t xml:space="preserve">a more comprehensive </w:t>
      </w:r>
      <w:r>
        <w:t>review of asset lives</w:t>
      </w:r>
      <w:r w:rsidR="00E31DD5">
        <w:t>, in order</w:t>
      </w:r>
      <w:r>
        <w:t xml:space="preserve"> to ensure the correct amount is passed on</w:t>
      </w:r>
      <w:r w:rsidR="00DE4CB8">
        <w:t xml:space="preserve"> </w:t>
      </w:r>
      <w:r>
        <w:t>to consumers</w:t>
      </w:r>
      <w:r w:rsidR="00F9526D">
        <w:t>.</w:t>
      </w:r>
      <w:r>
        <w:t xml:space="preserve"> </w:t>
      </w:r>
    </w:p>
    <w:p w14:paraId="018F965F" w14:textId="7B10A079" w:rsidR="00C330B2" w:rsidRPr="00883C89" w:rsidRDefault="007B7171" w:rsidP="00883C89">
      <w:pPr>
        <w:pStyle w:val="Heading2"/>
      </w:pPr>
      <w:r>
        <w:t xml:space="preserve">Components common to Sydney Water and Hunter Water </w:t>
      </w:r>
    </w:p>
    <w:p w14:paraId="7C886B49" w14:textId="77777777" w:rsidR="00C330B2" w:rsidRDefault="00F553EC" w:rsidP="00F553EC">
      <w:pPr>
        <w:pStyle w:val="Heading3"/>
        <w:rPr>
          <w:lang w:val="en-US"/>
        </w:rPr>
      </w:pPr>
      <w:r>
        <w:rPr>
          <w:lang w:val="en-US"/>
        </w:rPr>
        <w:t>Regulation</w:t>
      </w:r>
    </w:p>
    <w:p w14:paraId="338ECFB2" w14:textId="03750404" w:rsidR="005B52E0" w:rsidRDefault="005B52E0" w:rsidP="006A39F5">
      <w:r>
        <w:t>Sydney Water’s price proposal</w:t>
      </w:r>
      <w:r w:rsidR="0010663E">
        <w:t xml:space="preserve"> included </w:t>
      </w:r>
      <w:r>
        <w:t>a number of changes to the regulatory process</w:t>
      </w:r>
      <w:r w:rsidR="00DB6774">
        <w:t>,</w:t>
      </w:r>
      <w:r>
        <w:t xml:space="preserve"> including the introduction of a Weighted Average Price Cap (WAPC), an Efficiency Benefit Sharing Scheme (EBSS) and a general cost pass through provision. </w:t>
      </w:r>
    </w:p>
    <w:p w14:paraId="316AE836" w14:textId="77777777" w:rsidR="005B52E0" w:rsidRDefault="005B52E0" w:rsidP="006A39F5"/>
    <w:p w14:paraId="6DA31CDD" w14:textId="3B8CEA92" w:rsidR="00B20005" w:rsidRDefault="00A871F4" w:rsidP="006A39F5">
      <w:r>
        <w:t xml:space="preserve">IPART has </w:t>
      </w:r>
      <w:r w:rsidR="004A7741">
        <w:t xml:space="preserve">decided </w:t>
      </w:r>
      <w:r>
        <w:t>to</w:t>
      </w:r>
      <w:r w:rsidR="00FC66AA">
        <w:t xml:space="preserve"> introduce pricing flexibility rather than a WAPC by</w:t>
      </w:r>
      <w:r>
        <w:t xml:space="preserve"> allow</w:t>
      </w:r>
      <w:r w:rsidR="00FC66AA">
        <w:t>ing</w:t>
      </w:r>
      <w:r>
        <w:t xml:space="preserve"> Sydney water and large water users</w:t>
      </w:r>
      <w:r w:rsidR="00FC66AA">
        <w:t xml:space="preserve"> (annual water use 7.3ML)</w:t>
      </w:r>
      <w:r>
        <w:t xml:space="preserve"> to enter into </w:t>
      </w:r>
      <w:r w:rsidR="006A39F5">
        <w:t>unregulated pricing agreements with Sydney Water.</w:t>
      </w:r>
      <w:r w:rsidR="00FC66AA">
        <w:t xml:space="preserve"> PIAC</w:t>
      </w:r>
      <w:r w:rsidR="00397C89">
        <w:t>’</w:t>
      </w:r>
      <w:r w:rsidR="00FC66AA">
        <w:t xml:space="preserve">s original submission did not support the introduction of </w:t>
      </w:r>
      <w:r w:rsidR="00BA2537">
        <w:t xml:space="preserve">a WAPC. </w:t>
      </w:r>
      <w:r w:rsidR="00B20005">
        <w:t>PIAC supports IPART</w:t>
      </w:r>
      <w:r w:rsidR="00397C89">
        <w:t>’</w:t>
      </w:r>
      <w:r w:rsidR="00B20005">
        <w:t xml:space="preserve">s decision to not adopt a </w:t>
      </w:r>
      <w:r w:rsidR="00397C89">
        <w:t>WAPC,</w:t>
      </w:r>
      <w:r w:rsidR="00B20005">
        <w:t xml:space="preserve"> given the </w:t>
      </w:r>
      <w:r w:rsidR="00397C89">
        <w:t xml:space="preserve">nature of a </w:t>
      </w:r>
      <w:r w:rsidR="00B20005">
        <w:t xml:space="preserve">monopoly business and potential for cross-subsidies. PIAC requests additional information about how the adoption of </w:t>
      </w:r>
      <w:r w:rsidR="00910899">
        <w:t>an</w:t>
      </w:r>
      <w:r w:rsidR="00B20005">
        <w:t xml:space="preserve"> </w:t>
      </w:r>
      <w:r w:rsidR="007B7171">
        <w:t xml:space="preserve">Efficiency Carryover Mechanism (ECM) </w:t>
      </w:r>
      <w:r w:rsidR="00B20005">
        <w:t xml:space="preserve">lowers the risk of cross-subsidies </w:t>
      </w:r>
      <w:r w:rsidR="007B7171">
        <w:t xml:space="preserve">and </w:t>
      </w:r>
      <w:r w:rsidR="00B20005">
        <w:t>make</w:t>
      </w:r>
      <w:r w:rsidR="007B7171">
        <w:t>s</w:t>
      </w:r>
      <w:r w:rsidR="00B20005">
        <w:t xml:space="preserve"> it a more preferable option. </w:t>
      </w:r>
    </w:p>
    <w:p w14:paraId="32DBEDF6" w14:textId="77777777" w:rsidR="00DE0276" w:rsidRDefault="00DE0276" w:rsidP="006A39F5"/>
    <w:p w14:paraId="7D580F85" w14:textId="776004EB" w:rsidR="00910899" w:rsidRDefault="00910899" w:rsidP="006A39F5">
      <w:r>
        <w:t xml:space="preserve">At this stage, PIAC does not have a view on the definition of large users, but </w:t>
      </w:r>
      <w:r w:rsidR="007B7171">
        <w:t xml:space="preserve">recommends </w:t>
      </w:r>
      <w:r>
        <w:t xml:space="preserve">that IPART take a </w:t>
      </w:r>
      <w:r w:rsidR="001C7460">
        <w:t xml:space="preserve">staged </w:t>
      </w:r>
      <w:r>
        <w:t xml:space="preserve">approach to this change, </w:t>
      </w:r>
      <w:r w:rsidR="007B7171">
        <w:t xml:space="preserve">and re-evaluate </w:t>
      </w:r>
      <w:r>
        <w:t xml:space="preserve">once the new system has been </w:t>
      </w:r>
      <w:r w:rsidR="009E26F5">
        <w:t>trialled</w:t>
      </w:r>
      <w:r w:rsidR="0020134D">
        <w:t>. Given</w:t>
      </w:r>
      <w:r>
        <w:t xml:space="preserve"> the small number of customers captured by the proposed definition</w:t>
      </w:r>
      <w:r w:rsidR="00AA7289">
        <w:t>,</w:t>
      </w:r>
      <w:r>
        <w:t xml:space="preserve"> it would be reasonable to review </w:t>
      </w:r>
      <w:r w:rsidR="007B7171">
        <w:t xml:space="preserve">it in </w:t>
      </w:r>
      <w:r>
        <w:t xml:space="preserve">the next price determination period and </w:t>
      </w:r>
      <w:r w:rsidR="007B7171">
        <w:t>consider expanding</w:t>
      </w:r>
      <w:r>
        <w:t xml:space="preserve"> the definition to capture a larger number of </w:t>
      </w:r>
      <w:r w:rsidR="00E82F23">
        <w:t>non-residential customers.</w:t>
      </w:r>
      <w:r w:rsidR="00E82F23">
        <w:rPr>
          <w:rStyle w:val="FootnoteReference"/>
        </w:rPr>
        <w:footnoteReference w:id="10"/>
      </w:r>
    </w:p>
    <w:p w14:paraId="13268343" w14:textId="77777777" w:rsidR="006A39F5" w:rsidRDefault="006A39F5" w:rsidP="006A39F5"/>
    <w:p w14:paraId="287847CB" w14:textId="28BF4F14" w:rsidR="00AD1668" w:rsidRDefault="005105D4" w:rsidP="006A39F5">
      <w:r>
        <w:t>IPART has proposed the implementation of an ECM</w:t>
      </w:r>
      <w:r w:rsidR="00447CB5">
        <w:t xml:space="preserve"> based on external analysis that indicates an asymmetric ECM would be the best method </w:t>
      </w:r>
      <w:r w:rsidR="009748E0">
        <w:t xml:space="preserve">for </w:t>
      </w:r>
      <w:r w:rsidR="00447CB5">
        <w:t>addressing the disincentive to make efficiency savings in the latter part of the price period.</w:t>
      </w:r>
      <w:r w:rsidR="002D78B6">
        <w:rPr>
          <w:rStyle w:val="FootnoteReference"/>
        </w:rPr>
        <w:footnoteReference w:id="11"/>
      </w:r>
      <w:r w:rsidR="00447CB5">
        <w:t xml:space="preserve"> The proposed ECM will</w:t>
      </w:r>
      <w:r>
        <w:t xml:space="preserve"> </w:t>
      </w:r>
      <w:r w:rsidR="00447CB5">
        <w:t xml:space="preserve">allow </w:t>
      </w:r>
      <w:r w:rsidR="00020E25">
        <w:t xml:space="preserve">Sydney Water to retain any permanent efficiency savings for a four-year period before </w:t>
      </w:r>
      <w:r>
        <w:t>passing them onto customers</w:t>
      </w:r>
      <w:r w:rsidR="00447CB5">
        <w:t xml:space="preserve">, but </w:t>
      </w:r>
      <w:r w:rsidR="001C7460">
        <w:t xml:space="preserve">the measure </w:t>
      </w:r>
      <w:r w:rsidR="00447CB5">
        <w:t>will not apply to overspend</w:t>
      </w:r>
      <w:r>
        <w:t>. The proposed ECM will only apply</w:t>
      </w:r>
      <w:r w:rsidR="00020E25">
        <w:t xml:space="preserve"> to cont</w:t>
      </w:r>
      <w:r w:rsidR="009E3644">
        <w:t xml:space="preserve">rollable operating </w:t>
      </w:r>
      <w:proofErr w:type="gramStart"/>
      <w:r w:rsidR="009E3644">
        <w:t>expenditure</w:t>
      </w:r>
      <w:r w:rsidR="0025264A">
        <w:t>,</w:t>
      </w:r>
      <w:r w:rsidR="009E3644">
        <w:t xml:space="preserve"> that</w:t>
      </w:r>
      <w:proofErr w:type="gramEnd"/>
      <w:r w:rsidR="009E3644">
        <w:t xml:space="preserve"> is operating expenditure excluding </w:t>
      </w:r>
      <w:r>
        <w:t xml:space="preserve">the costs of purchasing </w:t>
      </w:r>
      <w:r w:rsidR="009E3644">
        <w:t>bulk water</w:t>
      </w:r>
      <w:r>
        <w:t xml:space="preserve">, which is variable year to year, which equates to approximately </w:t>
      </w:r>
      <w:r w:rsidR="009E3644">
        <w:t xml:space="preserve">60% of operating expenditure. PIAC </w:t>
      </w:r>
      <w:r w:rsidR="009748E0">
        <w:t>supports</w:t>
      </w:r>
      <w:r w:rsidR="009E3644">
        <w:t xml:space="preserve"> this approach</w:t>
      </w:r>
      <w:r w:rsidR="00447CB5">
        <w:t>,</w:t>
      </w:r>
      <w:r w:rsidR="009E3644">
        <w:t xml:space="preserve"> </w:t>
      </w:r>
      <w:r w:rsidR="004A51ED">
        <w:t xml:space="preserve">providing </w:t>
      </w:r>
      <w:r w:rsidR="0025264A">
        <w:t xml:space="preserve">its </w:t>
      </w:r>
      <w:r w:rsidR="00872714">
        <w:t xml:space="preserve">implementation </w:t>
      </w:r>
      <w:r w:rsidR="004A51ED">
        <w:t>is reviewed at t</w:t>
      </w:r>
      <w:r w:rsidR="00D61DE6">
        <w:t xml:space="preserve">he next price determination to </w:t>
      </w:r>
      <w:r w:rsidR="0025264A">
        <w:t xml:space="preserve">check if </w:t>
      </w:r>
      <w:r w:rsidR="00D61DE6">
        <w:t xml:space="preserve">it is working to remove the </w:t>
      </w:r>
      <w:r w:rsidR="00FF1A70">
        <w:t>disincentive</w:t>
      </w:r>
      <w:r w:rsidR="00D61DE6">
        <w:t xml:space="preserve"> to make efficiencies at the end of a price determination period</w:t>
      </w:r>
      <w:r w:rsidR="00445FB1">
        <w:t xml:space="preserve">, </w:t>
      </w:r>
      <w:r w:rsidR="00D61DE6">
        <w:t>but is not being gamed.</w:t>
      </w:r>
      <w:r w:rsidR="00E075F5">
        <w:t xml:space="preserve"> </w:t>
      </w:r>
      <w:r w:rsidR="006E2789">
        <w:t>PIAC considers IPART</w:t>
      </w:r>
      <w:r w:rsidR="00FF04AD">
        <w:t>’</w:t>
      </w:r>
      <w:r w:rsidR="006E2789">
        <w:t xml:space="preserve">s decision to continue to review spending by retaining the ability to reset expenditure </w:t>
      </w:r>
      <w:r w:rsidR="00AA39A9">
        <w:t xml:space="preserve">in </w:t>
      </w:r>
      <w:r w:rsidR="006E2789">
        <w:t>each determination period an important safeguard to ensure the ECM is beneficial to consumers.</w:t>
      </w:r>
      <w:r w:rsidR="006E2789">
        <w:rPr>
          <w:rStyle w:val="FootnoteReference"/>
        </w:rPr>
        <w:footnoteReference w:id="12"/>
      </w:r>
    </w:p>
    <w:p w14:paraId="381CA4B9" w14:textId="77777777" w:rsidR="009520A9" w:rsidRDefault="009520A9" w:rsidP="006A39F5"/>
    <w:p w14:paraId="6A3DC07E" w14:textId="540B5603" w:rsidR="00057915" w:rsidRDefault="00D356A3" w:rsidP="006A39F5">
      <w:r>
        <w:t xml:space="preserve">IPART has indicated that it will develop benchmarking for </w:t>
      </w:r>
      <w:r w:rsidR="0074450A">
        <w:t>broader</w:t>
      </w:r>
      <w:r>
        <w:t xml:space="preserve"> use within the urban water sector in NSW.</w:t>
      </w:r>
      <w:r w:rsidR="0052102D">
        <w:rPr>
          <w:rStyle w:val="FootnoteReference"/>
        </w:rPr>
        <w:footnoteReference w:id="13"/>
      </w:r>
      <w:r>
        <w:t xml:space="preserve"> </w:t>
      </w:r>
      <w:r w:rsidR="00F14BD2">
        <w:t>PIAC s</w:t>
      </w:r>
      <w:r w:rsidR="009520A9">
        <w:t>upport</w:t>
      </w:r>
      <w:r w:rsidR="00F14BD2">
        <w:t>s the</w:t>
      </w:r>
      <w:r w:rsidR="009520A9">
        <w:t xml:space="preserve"> greater use of </w:t>
      </w:r>
      <w:r w:rsidR="00057915">
        <w:t xml:space="preserve">performance </w:t>
      </w:r>
      <w:r w:rsidR="009520A9">
        <w:t xml:space="preserve">benchmarking, </w:t>
      </w:r>
      <w:r w:rsidR="009E67D7">
        <w:t xml:space="preserve">and </w:t>
      </w:r>
      <w:r w:rsidR="009520A9">
        <w:t>would like additional information about how it will be done and used.</w:t>
      </w:r>
      <w:r w:rsidR="002B417E">
        <w:t xml:space="preserve"> </w:t>
      </w:r>
      <w:r w:rsidR="00B752AE">
        <w:t xml:space="preserve">PIAC </w:t>
      </w:r>
      <w:r w:rsidR="002B417E">
        <w:t>would</w:t>
      </w:r>
      <w:r w:rsidR="00B752AE">
        <w:t xml:space="preserve"> also</w:t>
      </w:r>
      <w:r w:rsidR="002B417E">
        <w:t xml:space="preserve"> like to be involved in the development of </w:t>
      </w:r>
      <w:r w:rsidR="006E2789">
        <w:t>t</w:t>
      </w:r>
      <w:r w:rsidR="002B417E">
        <w:t>he benchmark</w:t>
      </w:r>
      <w:r w:rsidR="0016753B">
        <w:t>ing</w:t>
      </w:r>
      <w:r w:rsidR="002B417E">
        <w:t xml:space="preserve"> process, to</w:t>
      </w:r>
      <w:r w:rsidR="00140B17">
        <w:t xml:space="preserve"> help</w:t>
      </w:r>
      <w:r w:rsidR="002B417E">
        <w:t xml:space="preserve"> ensure that this process benefits customers. </w:t>
      </w:r>
    </w:p>
    <w:p w14:paraId="6F2CEABC" w14:textId="5AADD900" w:rsidR="00057915" w:rsidRDefault="00EE71C4" w:rsidP="00EE71C4">
      <w:pPr>
        <w:pStyle w:val="Recommendation"/>
      </w:pPr>
      <w:r>
        <w:t>Recommendation 4</w:t>
      </w:r>
    </w:p>
    <w:p w14:paraId="36B1405B" w14:textId="0F6FEE08" w:rsidR="00020E25" w:rsidRPr="006A39F5" w:rsidRDefault="00EE71C4" w:rsidP="00BC6832">
      <w:pPr>
        <w:pStyle w:val="Recommendationtext"/>
      </w:pPr>
      <w:r>
        <w:t xml:space="preserve">PIAC recommends that IPART review the </w:t>
      </w:r>
      <w:r w:rsidR="007B7171">
        <w:t>Efficiency Carryover Mechanism</w:t>
      </w:r>
      <w:r>
        <w:t xml:space="preserve"> during the next price period to ensure the strength of the incentive is correct and</w:t>
      </w:r>
      <w:r w:rsidR="008B70E7">
        <w:t xml:space="preserve"> that</w:t>
      </w:r>
      <w:r>
        <w:t xml:space="preserve"> </w:t>
      </w:r>
      <w:r w:rsidR="0025264A">
        <w:t>it does not lead to</w:t>
      </w:r>
      <w:r>
        <w:t xml:space="preserve"> unintended outcomes. </w:t>
      </w:r>
    </w:p>
    <w:p w14:paraId="1888D93E" w14:textId="5E38AE2D" w:rsidR="00F553EC" w:rsidRDefault="00540578" w:rsidP="00635B53">
      <w:pPr>
        <w:pStyle w:val="Heading2"/>
      </w:pPr>
      <w:r>
        <w:t>Additional</w:t>
      </w:r>
      <w:r w:rsidR="00F553EC">
        <w:t xml:space="preserve"> fees</w:t>
      </w:r>
    </w:p>
    <w:p w14:paraId="0CDDC770" w14:textId="63EF49B4" w:rsidR="00967C3D" w:rsidRDefault="00967C3D" w:rsidP="000D4EB6">
      <w:r>
        <w:t xml:space="preserve">This section deals with </w:t>
      </w:r>
      <w:r w:rsidR="009E3518">
        <w:t xml:space="preserve">associated fees, and while the actual amount </w:t>
      </w:r>
      <w:r w:rsidR="000A0C31">
        <w:t xml:space="preserve">charged </w:t>
      </w:r>
      <w:r w:rsidR="009E3518">
        <w:t xml:space="preserve">is different for the </w:t>
      </w:r>
      <w:r w:rsidR="0025264A">
        <w:t xml:space="preserve">two </w:t>
      </w:r>
      <w:r w:rsidR="009E3518">
        <w:t xml:space="preserve">utilities, the issues are common </w:t>
      </w:r>
      <w:r w:rsidR="0025264A">
        <w:t xml:space="preserve">between </w:t>
      </w:r>
      <w:r w:rsidR="009E3518">
        <w:t xml:space="preserve">them </w:t>
      </w:r>
      <w:r w:rsidR="0025264A">
        <w:t>and</w:t>
      </w:r>
      <w:r w:rsidR="009E3518">
        <w:t xml:space="preserve"> will be </w:t>
      </w:r>
      <w:r w:rsidR="00D50C0F">
        <w:t xml:space="preserve">considered </w:t>
      </w:r>
      <w:r w:rsidR="009E3518">
        <w:t xml:space="preserve">together. </w:t>
      </w:r>
    </w:p>
    <w:p w14:paraId="0A011E43" w14:textId="1D163EE6" w:rsidR="00BF374F" w:rsidRDefault="00C36A58" w:rsidP="00635B53">
      <w:pPr>
        <w:pStyle w:val="Heading3"/>
      </w:pPr>
      <w:r>
        <w:t>Dishonoured payment fees</w:t>
      </w:r>
    </w:p>
    <w:p w14:paraId="47947812" w14:textId="014D367E" w:rsidR="00A03932" w:rsidRDefault="007A0B6C" w:rsidP="00540578">
      <w:r>
        <w:t xml:space="preserve">IPART has determined to maintain the current dishonoured </w:t>
      </w:r>
      <w:r w:rsidR="00CC41D4">
        <w:t>payment fee</w:t>
      </w:r>
      <w:r>
        <w:t xml:space="preserve">s for both utilities after determining they are both cost reflective. Sydney Water’s dishonoured payment will be </w:t>
      </w:r>
      <w:r w:rsidR="00F00364">
        <w:t>$</w:t>
      </w:r>
      <w:r w:rsidR="00CC41D4">
        <w:t>12.27</w:t>
      </w:r>
      <w:r w:rsidR="004B4EB8">
        <w:t>,</w:t>
      </w:r>
      <w:r w:rsidR="00CC41D4">
        <w:t xml:space="preserve"> with adjustments each year for inflation</w:t>
      </w:r>
      <w:r w:rsidR="00D740D4">
        <w:rPr>
          <w:rStyle w:val="FootnoteReference"/>
        </w:rPr>
        <w:footnoteReference w:id="14"/>
      </w:r>
      <w:r w:rsidR="004B4EB8">
        <w:t>,</w:t>
      </w:r>
      <w:r>
        <w:t xml:space="preserve"> and Hunter Water’s will be $</w:t>
      </w:r>
      <w:r w:rsidR="00C36A58">
        <w:t xml:space="preserve">28.45-40.95 depending on the </w:t>
      </w:r>
      <w:r>
        <w:t>payment</w:t>
      </w:r>
      <w:r w:rsidR="00C36A58">
        <w:t xml:space="preserve"> me</w:t>
      </w:r>
      <w:r>
        <w:t>chanism that the customer used, also adjusted up for inflation each year.</w:t>
      </w:r>
      <w:r w:rsidR="00D740D4">
        <w:rPr>
          <w:rStyle w:val="FootnoteReference"/>
        </w:rPr>
        <w:footnoteReference w:id="15"/>
      </w:r>
      <w:r>
        <w:t xml:space="preserve"> PIAC </w:t>
      </w:r>
      <w:r w:rsidR="00553B4F">
        <w:t xml:space="preserve">accepts </w:t>
      </w:r>
      <w:r>
        <w:t>that both fees are cost reflective</w:t>
      </w:r>
      <w:r w:rsidR="00FB5717">
        <w:t>,</w:t>
      </w:r>
      <w:r>
        <w:t xml:space="preserve"> and </w:t>
      </w:r>
      <w:r w:rsidR="00FB5717">
        <w:t xml:space="preserve">that </w:t>
      </w:r>
      <w:r>
        <w:t xml:space="preserve">Hunter Water’s </w:t>
      </w:r>
      <w:r w:rsidR="00553B4F">
        <w:t>is</w:t>
      </w:r>
      <w:r>
        <w:t xml:space="preserve"> larger than Sydney Water’s is still reasonable. </w:t>
      </w:r>
      <w:r w:rsidR="007219C2">
        <w:t>PIAC understands that the different prices reflect the different payment method (</w:t>
      </w:r>
      <w:r w:rsidR="00043BFD">
        <w:t>i.e.</w:t>
      </w:r>
      <w:r w:rsidR="007219C2">
        <w:t xml:space="preserve"> Australia Post, bank debit or cheque)</w:t>
      </w:r>
      <w:r w:rsidR="00B3650D">
        <w:t xml:space="preserve">. </w:t>
      </w:r>
      <w:r w:rsidR="00A03932">
        <w:t>Based on the information provided</w:t>
      </w:r>
      <w:r w:rsidR="00B3650D">
        <w:t>, it</w:t>
      </w:r>
      <w:r w:rsidR="007219C2">
        <w:t xml:space="preserve"> </w:t>
      </w:r>
      <w:r w:rsidR="00A03932">
        <w:t xml:space="preserve">was </w:t>
      </w:r>
      <w:r w:rsidR="007219C2">
        <w:t>diffi</w:t>
      </w:r>
      <w:r w:rsidR="00B3650D">
        <w:t>cult for PIAC to assess why it would cost more for a dishonoured payment through Aus</w:t>
      </w:r>
      <w:r w:rsidR="00E23789">
        <w:t xml:space="preserve">tralia </w:t>
      </w:r>
      <w:r w:rsidR="00B3650D">
        <w:t>Post in the Hunter Valley rather than in Sydney</w:t>
      </w:r>
      <w:r w:rsidR="00D50C0F">
        <w:t xml:space="preserve">. </w:t>
      </w:r>
    </w:p>
    <w:p w14:paraId="156E9D87" w14:textId="77777777" w:rsidR="00A03932" w:rsidRDefault="00A03932" w:rsidP="00540578"/>
    <w:p w14:paraId="2A5249CE" w14:textId="6DEB6D95" w:rsidR="00BF374F" w:rsidRPr="00540578" w:rsidRDefault="00794F7A" w:rsidP="00540578">
      <w:r>
        <w:t xml:space="preserve">This issue was clarified at the public forum on these fees </w:t>
      </w:r>
      <w:r w:rsidR="00A03932">
        <w:t xml:space="preserve">on </w:t>
      </w:r>
      <w:r>
        <w:t>Monday 11 April 2016</w:t>
      </w:r>
      <w:r w:rsidR="00A03932">
        <w:t xml:space="preserve">. </w:t>
      </w:r>
      <w:r>
        <w:t>Hunter Water</w:t>
      </w:r>
      <w:r w:rsidR="00A03932">
        <w:t>,</w:t>
      </w:r>
      <w:r>
        <w:t xml:space="preserve"> as part of its contract with Australia Post</w:t>
      </w:r>
      <w:r w:rsidR="00A03932">
        <w:t>,</w:t>
      </w:r>
      <w:r>
        <w:t xml:space="preserve"> is charged more for dishonoured che</w:t>
      </w:r>
      <w:r w:rsidR="00D50C0F">
        <w:t>que</w:t>
      </w:r>
      <w:r>
        <w:t xml:space="preserve">s than Sydney Water. In addition, Hunter Water’s IT system does not allow for automatic processing of dishonoured/declined payments and the additional labour costs result in a higher fee. Hunter Water have indicated that they are happy to move to a single fee </w:t>
      </w:r>
      <w:r w:rsidR="00D51591">
        <w:t xml:space="preserve">set at the rate for declined direct debit payments, for customer simplicity and processing simplicity. This fee will </w:t>
      </w:r>
      <w:r w:rsidR="00A03932">
        <w:t xml:space="preserve">be </w:t>
      </w:r>
      <w:r w:rsidR="00D51591">
        <w:t>set at $28.45 and with advancements in Hunter Waters IT system during this price determination, PIAC hopes this fee will be reduced in future determinations. Given this clarification, PIAC is satisfied this fee is cost reflective and transparent.</w:t>
      </w:r>
    </w:p>
    <w:p w14:paraId="24EC6AD3" w14:textId="40562424" w:rsidR="000D4EB6" w:rsidRDefault="00C36A58" w:rsidP="00635B53">
      <w:pPr>
        <w:pStyle w:val="Heading3"/>
      </w:pPr>
      <w:r>
        <w:t xml:space="preserve">Late payment fee </w:t>
      </w:r>
    </w:p>
    <w:p w14:paraId="00ADDA5E" w14:textId="19928957" w:rsidR="003A7206" w:rsidRDefault="00B97E0D" w:rsidP="00C36A58">
      <w:r>
        <w:t>IPART has indicated it supports Sydney Water’s proposed</w:t>
      </w:r>
      <w:r w:rsidR="003A7206">
        <w:t xml:space="preserve"> l</w:t>
      </w:r>
      <w:r w:rsidR="00C36A58">
        <w:t>ate payment fee of $4.16</w:t>
      </w:r>
      <w:r w:rsidR="00043BFD">
        <w:t>,</w:t>
      </w:r>
      <w:r w:rsidR="00C36A58">
        <w:t xml:space="preserve"> </w:t>
      </w:r>
      <w:r>
        <w:t xml:space="preserve">with an </w:t>
      </w:r>
      <w:r w:rsidR="00C36A58">
        <w:t xml:space="preserve">increase </w:t>
      </w:r>
      <w:r w:rsidR="00540578">
        <w:t xml:space="preserve">each year in line with </w:t>
      </w:r>
      <w:r w:rsidR="00C36A58">
        <w:t xml:space="preserve">inflation to $4.40 by 2020. </w:t>
      </w:r>
      <w:r w:rsidR="00540578">
        <w:t xml:space="preserve">IPART is satisfied there are sufficient protections for vulnerable consumers to ensure an additional fee does not adversely affect them. </w:t>
      </w:r>
      <w:r w:rsidR="00B76DC7">
        <w:t xml:space="preserve">IPART has </w:t>
      </w:r>
      <w:r w:rsidR="00540578">
        <w:t>also indicated there should be an a</w:t>
      </w:r>
      <w:r w:rsidR="00C36A58">
        <w:t xml:space="preserve">dditional provision that </w:t>
      </w:r>
      <w:r w:rsidR="00043BFD">
        <w:t xml:space="preserve">a </w:t>
      </w:r>
      <w:r w:rsidR="00C36A58">
        <w:t xml:space="preserve">late payment fee can only be applied if </w:t>
      </w:r>
      <w:r w:rsidR="005A49C4">
        <w:t xml:space="preserve">the </w:t>
      </w:r>
      <w:r w:rsidR="00C36A58">
        <w:t>customer is notified prior to the late payment fee.</w:t>
      </w:r>
      <w:r w:rsidR="00D740D4">
        <w:rPr>
          <w:rStyle w:val="FootnoteReference"/>
        </w:rPr>
        <w:footnoteReference w:id="16"/>
      </w:r>
      <w:r w:rsidR="00C36A58">
        <w:t xml:space="preserve"> </w:t>
      </w:r>
      <w:r w:rsidR="00540578">
        <w:t xml:space="preserve">PIAC </w:t>
      </w:r>
      <w:r w:rsidR="00C36A58">
        <w:t>seek</w:t>
      </w:r>
      <w:r w:rsidR="00540578">
        <w:t>s</w:t>
      </w:r>
      <w:r w:rsidR="00C36A58">
        <w:t xml:space="preserve"> clarification if this notice is </w:t>
      </w:r>
      <w:r w:rsidR="009C0C93">
        <w:t xml:space="preserve">to be given </w:t>
      </w:r>
      <w:r w:rsidR="00C36A58">
        <w:t>each time a late payment fee is applied</w:t>
      </w:r>
      <w:r w:rsidR="009C0C93">
        <w:t xml:space="preserve">, </w:t>
      </w:r>
      <w:r w:rsidR="00C36A58">
        <w:t xml:space="preserve">or </w:t>
      </w:r>
      <w:r w:rsidR="00C955CB">
        <w:t xml:space="preserve">whether it is </w:t>
      </w:r>
      <w:r w:rsidR="00C36A58">
        <w:t>just a once off warning that a late payment incurs a fee</w:t>
      </w:r>
      <w:r w:rsidR="00C955CB">
        <w:t>.</w:t>
      </w:r>
    </w:p>
    <w:p w14:paraId="333179D9" w14:textId="22117635" w:rsidR="00540578" w:rsidRDefault="00540578" w:rsidP="00540578">
      <w:pPr>
        <w:pStyle w:val="Recommendation"/>
      </w:pPr>
      <w:r>
        <w:t>Recommendation 5</w:t>
      </w:r>
    </w:p>
    <w:p w14:paraId="618763ED" w14:textId="7E9CBE77" w:rsidR="00540578" w:rsidRPr="00540578" w:rsidRDefault="00540578" w:rsidP="00540578">
      <w:pPr>
        <w:pStyle w:val="Recommendationtext"/>
      </w:pPr>
      <w:r>
        <w:t xml:space="preserve">PIAC recommends that IPART clarify the requirement for Sydney Water to provide notice that a late fee applies. </w:t>
      </w:r>
    </w:p>
    <w:p w14:paraId="289EF867" w14:textId="75AC605B" w:rsidR="003A7206" w:rsidRDefault="003A7206" w:rsidP="00635B53">
      <w:pPr>
        <w:pStyle w:val="Heading3"/>
      </w:pPr>
      <w:r>
        <w:t>Credit card fee</w:t>
      </w:r>
    </w:p>
    <w:p w14:paraId="5ADB67DC" w14:textId="221D6DF9" w:rsidR="00D26D0B" w:rsidRDefault="00D26D0B" w:rsidP="00C36A58">
      <w:r>
        <w:t>In 2012</w:t>
      </w:r>
      <w:r w:rsidR="00275BE4">
        <w:t>,</w:t>
      </w:r>
      <w:r>
        <w:t xml:space="preserve"> NSW Treas</w:t>
      </w:r>
      <w:r w:rsidR="00D17A69">
        <w:t xml:space="preserve">ury required that all </w:t>
      </w:r>
      <w:r w:rsidR="00275BE4">
        <w:t xml:space="preserve">state owned corporations </w:t>
      </w:r>
      <w:r w:rsidR="00D17A69">
        <w:t>and government agencies implement a credit card fee</w:t>
      </w:r>
      <w:r w:rsidR="00B76DC7">
        <w:t xml:space="preserve"> for payments made by credit card</w:t>
      </w:r>
      <w:r w:rsidR="00275BE4">
        <w:t xml:space="preserve">. As </w:t>
      </w:r>
      <w:r>
        <w:t>such</w:t>
      </w:r>
      <w:r w:rsidR="00275BE4">
        <w:t>,</w:t>
      </w:r>
      <w:r>
        <w:t xml:space="preserve"> Sydney Water is implementing a 0.4% credit card fee. PIAC sought provisions to protect vulnerable customers who may use credit cards as a ‘safety net’ for when they are unable to balance competing financial demands. IPART </w:t>
      </w:r>
      <w:r w:rsidR="000B77C9">
        <w:t>contends that this is not require</w:t>
      </w:r>
      <w:r w:rsidR="00275BE4">
        <w:t>d:</w:t>
      </w:r>
    </w:p>
    <w:p w14:paraId="01BB1E61" w14:textId="2E2C3B90" w:rsidR="00C36A58" w:rsidRDefault="00D26D0B" w:rsidP="00C36A58">
      <w:r>
        <w:t xml:space="preserve"> </w:t>
      </w:r>
      <w:r w:rsidR="00B97E0D">
        <w:t xml:space="preserve"> </w:t>
      </w:r>
    </w:p>
    <w:p w14:paraId="275C904F" w14:textId="797578F2" w:rsidR="00C36A58" w:rsidRDefault="00C36A58" w:rsidP="00085F0F">
      <w:pPr>
        <w:pStyle w:val="Quote"/>
        <w:rPr>
          <w:lang w:val="en-US"/>
        </w:rPr>
      </w:pPr>
      <w:r w:rsidRPr="007F3984">
        <w:rPr>
          <w:lang w:val="en-US"/>
        </w:rPr>
        <w:t>In its submission, the Public Interest Advocacy Centre (PIAC) recommended the credit card fee be subject to similar hardship protections as the late payment fee (discussed below), as some low-income households may have no choice but to use a credit card to pay their water bill. However, we consider this is unnecessary, as customers experiencing financial hardship have the right under the Customer Contract to defer payment and to negotiate an installment plan.</w:t>
      </w:r>
      <w:r w:rsidR="00D740D4">
        <w:rPr>
          <w:rStyle w:val="FootnoteReference"/>
          <w:lang w:val="en-US"/>
        </w:rPr>
        <w:footnoteReference w:id="17"/>
      </w:r>
      <w:r w:rsidRPr="007F3984">
        <w:rPr>
          <w:lang w:val="en-US"/>
        </w:rPr>
        <w:t xml:space="preserve"> </w:t>
      </w:r>
    </w:p>
    <w:p w14:paraId="5C92DC61" w14:textId="77777777" w:rsidR="00085F0F" w:rsidRDefault="00085F0F" w:rsidP="00085F0F">
      <w:pPr>
        <w:rPr>
          <w:lang w:val="en-US"/>
        </w:rPr>
      </w:pPr>
    </w:p>
    <w:p w14:paraId="17B06BD1" w14:textId="0A3021CB" w:rsidR="002578D3" w:rsidRDefault="00085F0F" w:rsidP="00085F0F">
      <w:pPr>
        <w:rPr>
          <w:lang w:val="en-US"/>
        </w:rPr>
      </w:pPr>
      <w:r>
        <w:rPr>
          <w:lang w:val="en-US"/>
        </w:rPr>
        <w:t xml:space="preserve">PIAC acknowledges that </w:t>
      </w:r>
      <w:r w:rsidR="00275BE4">
        <w:rPr>
          <w:lang w:val="en-US"/>
        </w:rPr>
        <w:t xml:space="preserve">people </w:t>
      </w:r>
      <w:r w:rsidR="00794F7A">
        <w:rPr>
          <w:lang w:val="en-US"/>
        </w:rPr>
        <w:t>experiencing</w:t>
      </w:r>
      <w:r>
        <w:rPr>
          <w:lang w:val="en-US"/>
        </w:rPr>
        <w:t xml:space="preserve"> hardship are able to negotiate a payment plan</w:t>
      </w:r>
      <w:r w:rsidR="00275BE4">
        <w:rPr>
          <w:lang w:val="en-US"/>
        </w:rPr>
        <w:t>,</w:t>
      </w:r>
      <w:r>
        <w:rPr>
          <w:lang w:val="en-US"/>
        </w:rPr>
        <w:t xml:space="preserve"> which may mean they do not rely on credit cards to pay</w:t>
      </w:r>
      <w:r w:rsidR="00275BE4">
        <w:rPr>
          <w:lang w:val="en-US"/>
        </w:rPr>
        <w:t>. H</w:t>
      </w:r>
      <w:r>
        <w:rPr>
          <w:lang w:val="en-US"/>
        </w:rPr>
        <w:t>owever our concern remain</w:t>
      </w:r>
      <w:r w:rsidR="000F4132">
        <w:rPr>
          <w:lang w:val="en-US"/>
        </w:rPr>
        <w:t>s</w:t>
      </w:r>
      <w:r>
        <w:rPr>
          <w:lang w:val="en-US"/>
        </w:rPr>
        <w:t xml:space="preserve"> that a significant proportion of people who are vulnerable are not on hardship plans and do not have a payment plan set up. According to Sydney Water</w:t>
      </w:r>
      <w:r w:rsidR="00275BE4">
        <w:rPr>
          <w:lang w:val="en-US"/>
        </w:rPr>
        <w:t>,</w:t>
      </w:r>
      <w:r>
        <w:rPr>
          <w:lang w:val="en-US"/>
        </w:rPr>
        <w:t xml:space="preserve"> 2% of their customer base is on a hardship plan</w:t>
      </w:r>
      <w:r w:rsidR="007D3CC2">
        <w:rPr>
          <w:lang w:val="en-US"/>
        </w:rPr>
        <w:t>.</w:t>
      </w:r>
      <w:r w:rsidR="00D740D4">
        <w:rPr>
          <w:rStyle w:val="FootnoteReference"/>
          <w:lang w:val="en-US"/>
        </w:rPr>
        <w:footnoteReference w:id="18"/>
      </w:r>
      <w:r w:rsidR="007D3CC2">
        <w:rPr>
          <w:lang w:val="en-US"/>
        </w:rPr>
        <w:t xml:space="preserve"> At the same time, </w:t>
      </w:r>
      <w:r>
        <w:rPr>
          <w:lang w:val="en-US"/>
        </w:rPr>
        <w:t>f</w:t>
      </w:r>
      <w:r w:rsidR="00281E3C">
        <w:rPr>
          <w:lang w:val="en-US"/>
        </w:rPr>
        <w:t xml:space="preserve">igures </w:t>
      </w:r>
      <w:r w:rsidR="00983305">
        <w:rPr>
          <w:lang w:val="en-US"/>
        </w:rPr>
        <w:t xml:space="preserve">for 2012 </w:t>
      </w:r>
      <w:r w:rsidR="00281E3C">
        <w:rPr>
          <w:lang w:val="en-US"/>
        </w:rPr>
        <w:t>show that 13.9</w:t>
      </w:r>
      <w:r>
        <w:rPr>
          <w:lang w:val="en-US"/>
        </w:rPr>
        <w:t>% of the population live</w:t>
      </w:r>
      <w:r w:rsidR="007D3CC2">
        <w:rPr>
          <w:lang w:val="en-US"/>
        </w:rPr>
        <w:t>s</w:t>
      </w:r>
      <w:r>
        <w:rPr>
          <w:lang w:val="en-US"/>
        </w:rPr>
        <w:t xml:space="preserve"> below the poverty line</w:t>
      </w:r>
      <w:r w:rsidR="000F4132">
        <w:rPr>
          <w:lang w:val="en-US"/>
        </w:rPr>
        <w:t>,</w:t>
      </w:r>
      <w:r w:rsidR="00281E3C">
        <w:rPr>
          <w:rStyle w:val="FootnoteReference"/>
          <w:lang w:val="en-US"/>
        </w:rPr>
        <w:footnoteReference w:id="19"/>
      </w:r>
      <w:r w:rsidR="00CF2FD1">
        <w:rPr>
          <w:lang w:val="en-US"/>
        </w:rPr>
        <w:t xml:space="preserve"> </w:t>
      </w:r>
      <w:r w:rsidR="000F4132">
        <w:rPr>
          <w:lang w:val="en-US"/>
        </w:rPr>
        <w:t>in addition to people sometimes referred to as</w:t>
      </w:r>
      <w:r w:rsidR="00281E3C">
        <w:rPr>
          <w:lang w:val="en-US"/>
        </w:rPr>
        <w:t xml:space="preserve"> </w:t>
      </w:r>
      <w:r w:rsidR="000F4132">
        <w:rPr>
          <w:lang w:val="en-US"/>
        </w:rPr>
        <w:t>‘</w:t>
      </w:r>
      <w:r w:rsidR="00281E3C">
        <w:rPr>
          <w:lang w:val="en-US"/>
        </w:rPr>
        <w:t>working poor</w:t>
      </w:r>
      <w:r w:rsidR="000F4132">
        <w:rPr>
          <w:lang w:val="en-US"/>
        </w:rPr>
        <w:t>’</w:t>
      </w:r>
      <w:r w:rsidR="00281E3C">
        <w:rPr>
          <w:lang w:val="en-US"/>
        </w:rPr>
        <w:t xml:space="preserve"> who sit just above the vulnerable line</w:t>
      </w:r>
      <w:r>
        <w:rPr>
          <w:lang w:val="en-US"/>
        </w:rPr>
        <w:t xml:space="preserve">. </w:t>
      </w:r>
      <w:r w:rsidR="00CF2FD1">
        <w:rPr>
          <w:lang w:val="en-US"/>
        </w:rPr>
        <w:t>In light of evidence that there are many people experienc</w:t>
      </w:r>
      <w:r w:rsidR="004B32F9">
        <w:rPr>
          <w:lang w:val="en-US"/>
        </w:rPr>
        <w:t>ing</w:t>
      </w:r>
      <w:r w:rsidR="00CF2FD1">
        <w:rPr>
          <w:lang w:val="en-US"/>
        </w:rPr>
        <w:t xml:space="preserve"> hardship who are not necessarily on payment plans, it</w:t>
      </w:r>
      <w:r>
        <w:rPr>
          <w:lang w:val="en-US"/>
        </w:rPr>
        <w:t xml:space="preserve"> is not </w:t>
      </w:r>
      <w:r w:rsidR="00205E40">
        <w:rPr>
          <w:lang w:val="en-US"/>
        </w:rPr>
        <w:t>sufficient to</w:t>
      </w:r>
      <w:r>
        <w:rPr>
          <w:lang w:val="en-US"/>
        </w:rPr>
        <w:t xml:space="preserve"> say that</w:t>
      </w:r>
      <w:r w:rsidR="002C7D40">
        <w:rPr>
          <w:lang w:val="en-US"/>
        </w:rPr>
        <w:t xml:space="preserve"> simply</w:t>
      </w:r>
      <w:r>
        <w:rPr>
          <w:lang w:val="en-US"/>
        </w:rPr>
        <w:t xml:space="preserve"> </w:t>
      </w:r>
      <w:r w:rsidR="00937654">
        <w:rPr>
          <w:lang w:val="en-US"/>
        </w:rPr>
        <w:t>because the</w:t>
      </w:r>
      <w:r>
        <w:rPr>
          <w:lang w:val="en-US"/>
        </w:rPr>
        <w:t xml:space="preserve"> option of setting up a payment plan </w:t>
      </w:r>
      <w:r w:rsidR="00587C4B">
        <w:rPr>
          <w:lang w:val="en-US"/>
        </w:rPr>
        <w:t>exists there is no reason to provide further assistance</w:t>
      </w:r>
      <w:r w:rsidR="006B47FC">
        <w:rPr>
          <w:lang w:val="en-US"/>
        </w:rPr>
        <w:t xml:space="preserve">. </w:t>
      </w:r>
    </w:p>
    <w:p w14:paraId="6624F449" w14:textId="67345071" w:rsidR="002578D3" w:rsidRDefault="002578D3" w:rsidP="002578D3">
      <w:pPr>
        <w:pStyle w:val="Recommendation"/>
        <w:rPr>
          <w:lang w:val="en-US"/>
        </w:rPr>
      </w:pPr>
      <w:r>
        <w:rPr>
          <w:lang w:val="en-US"/>
        </w:rPr>
        <w:t>Recommendation 6</w:t>
      </w:r>
    </w:p>
    <w:p w14:paraId="49B606EB" w14:textId="2D22E81C" w:rsidR="002578D3" w:rsidRDefault="002578D3" w:rsidP="002578D3">
      <w:pPr>
        <w:pStyle w:val="Recommendationtext"/>
      </w:pPr>
      <w:r>
        <w:t xml:space="preserve">PIAC recommends that IPART </w:t>
      </w:r>
      <w:r w:rsidR="006064C6">
        <w:t>conduct economic and social modelling</w:t>
      </w:r>
      <w:r>
        <w:t xml:space="preserve"> of </w:t>
      </w:r>
      <w:r w:rsidR="006064C6">
        <w:t xml:space="preserve">the </w:t>
      </w:r>
      <w:r w:rsidR="0057376B">
        <w:t xml:space="preserve">impact </w:t>
      </w:r>
      <w:r w:rsidR="006064C6">
        <w:t xml:space="preserve">of </w:t>
      </w:r>
      <w:r>
        <w:t xml:space="preserve">credit card fees on vulnerable and </w:t>
      </w:r>
      <w:r w:rsidR="000F4132">
        <w:t>‘</w:t>
      </w:r>
      <w:r>
        <w:t>working poor</w:t>
      </w:r>
      <w:r w:rsidR="000F4132">
        <w:t>’</w:t>
      </w:r>
      <w:r>
        <w:t xml:space="preserve"> customers. </w:t>
      </w:r>
    </w:p>
    <w:p w14:paraId="04F30529" w14:textId="1C2BDA5C" w:rsidR="006B190A" w:rsidRDefault="006B190A" w:rsidP="0086217D">
      <w:pPr>
        <w:pStyle w:val="Recommendation"/>
      </w:pPr>
      <w:r>
        <w:t>Recommendation 7</w:t>
      </w:r>
    </w:p>
    <w:p w14:paraId="59909EE0" w14:textId="0A2CB51B" w:rsidR="006B190A" w:rsidRPr="006B190A" w:rsidRDefault="006B190A" w:rsidP="0086217D">
      <w:pPr>
        <w:pStyle w:val="Recommendationtext"/>
      </w:pPr>
      <w:r>
        <w:t xml:space="preserve">PIAC recommends that </w:t>
      </w:r>
      <w:r w:rsidR="006E0A32">
        <w:t>the NSW Government</w:t>
      </w:r>
      <w:r w:rsidR="00386116">
        <w:t xml:space="preserve"> direct IPART to</w:t>
      </w:r>
      <w:r>
        <w:t xml:space="preserve"> regulate credit card fees in addition to the other fees it regulates, such as late and irregular</w:t>
      </w:r>
      <w:r w:rsidR="000F4132">
        <w:t xml:space="preserve"> payment</w:t>
      </w:r>
      <w:r>
        <w:t xml:space="preserve"> fees.</w:t>
      </w:r>
    </w:p>
    <w:p w14:paraId="1CCADF38" w14:textId="49F21037" w:rsidR="00F553EC" w:rsidRDefault="0038202C" w:rsidP="00635B53">
      <w:pPr>
        <w:pStyle w:val="Heading2"/>
        <w:rPr>
          <w:lang w:val="en-US"/>
        </w:rPr>
      </w:pPr>
      <w:r>
        <w:rPr>
          <w:lang w:val="en-US"/>
        </w:rPr>
        <w:t xml:space="preserve">Conclusion </w:t>
      </w:r>
    </w:p>
    <w:p w14:paraId="2DE23485" w14:textId="702C78CA" w:rsidR="00C330B2" w:rsidRDefault="00000D83" w:rsidP="006E2789">
      <w:pPr>
        <w:rPr>
          <w:lang w:val="en-US"/>
        </w:rPr>
      </w:pPr>
      <w:r>
        <w:rPr>
          <w:lang w:val="en-US"/>
        </w:rPr>
        <w:t xml:space="preserve">PIAC notes that during </w:t>
      </w:r>
      <w:r w:rsidR="002578D3">
        <w:rPr>
          <w:lang w:val="en-US"/>
        </w:rPr>
        <w:t>the pub</w:t>
      </w:r>
      <w:r w:rsidR="0038202C">
        <w:rPr>
          <w:lang w:val="en-US"/>
        </w:rPr>
        <w:t>lic forum for the pricing proposal</w:t>
      </w:r>
      <w:r w:rsidR="000F4132">
        <w:rPr>
          <w:lang w:val="en-US"/>
        </w:rPr>
        <w:t>s</w:t>
      </w:r>
      <w:r w:rsidR="0038202C">
        <w:rPr>
          <w:lang w:val="en-US"/>
        </w:rPr>
        <w:t xml:space="preserve"> for both Sydney Water and Hunter Water, many stakeholders </w:t>
      </w:r>
      <w:r w:rsidR="000F4132">
        <w:rPr>
          <w:lang w:val="en-US"/>
        </w:rPr>
        <w:t xml:space="preserve">expressed </w:t>
      </w:r>
      <w:r w:rsidR="0038202C">
        <w:rPr>
          <w:lang w:val="en-US"/>
        </w:rPr>
        <w:t>concern</w:t>
      </w:r>
      <w:r w:rsidR="000F4132">
        <w:rPr>
          <w:lang w:val="en-US"/>
        </w:rPr>
        <w:t xml:space="preserve"> about </w:t>
      </w:r>
      <w:r w:rsidR="0038202C">
        <w:rPr>
          <w:lang w:val="en-US"/>
        </w:rPr>
        <w:t xml:space="preserve">the role water </w:t>
      </w:r>
      <w:r w:rsidR="006E0A32">
        <w:rPr>
          <w:lang w:val="en-US"/>
        </w:rPr>
        <w:t xml:space="preserve">plays </w:t>
      </w:r>
      <w:r w:rsidR="0038202C">
        <w:rPr>
          <w:lang w:val="en-US"/>
        </w:rPr>
        <w:t xml:space="preserve">in the livability of urban areas. PIAC understands this </w:t>
      </w:r>
      <w:r w:rsidR="000F4132">
        <w:rPr>
          <w:lang w:val="en-US"/>
        </w:rPr>
        <w:t xml:space="preserve">issue </w:t>
      </w:r>
      <w:r w:rsidR="0038202C">
        <w:rPr>
          <w:lang w:val="en-US"/>
        </w:rPr>
        <w:t>is not within IPART</w:t>
      </w:r>
      <w:r w:rsidR="00AF669F">
        <w:rPr>
          <w:lang w:val="en-US"/>
        </w:rPr>
        <w:t>’</w:t>
      </w:r>
      <w:r w:rsidR="0038202C">
        <w:rPr>
          <w:lang w:val="en-US"/>
        </w:rPr>
        <w:t xml:space="preserve">s jurisdiction, however it is surprising that IPART did not mention this </w:t>
      </w:r>
      <w:r w:rsidR="0059153F">
        <w:rPr>
          <w:lang w:val="en-US"/>
        </w:rPr>
        <w:t xml:space="preserve">as context </w:t>
      </w:r>
      <w:r w:rsidR="0038202C">
        <w:rPr>
          <w:lang w:val="en-US"/>
        </w:rPr>
        <w:t xml:space="preserve">in the draft determination. </w:t>
      </w:r>
      <w:r w:rsidR="00AF669F">
        <w:rPr>
          <w:lang w:val="en-US"/>
        </w:rPr>
        <w:t xml:space="preserve">PIAC notes that it </w:t>
      </w:r>
      <w:r w:rsidR="0038202C">
        <w:rPr>
          <w:lang w:val="en-US"/>
        </w:rPr>
        <w:t xml:space="preserve">would be </w:t>
      </w:r>
      <w:r w:rsidR="00CF7F8F">
        <w:rPr>
          <w:lang w:val="en-US"/>
        </w:rPr>
        <w:t>usef</w:t>
      </w:r>
      <w:bookmarkStart w:id="5" w:name="_GoBack"/>
      <w:bookmarkEnd w:id="5"/>
      <w:r w:rsidR="00CF7F8F">
        <w:rPr>
          <w:lang w:val="en-US"/>
        </w:rPr>
        <w:t xml:space="preserve">ul </w:t>
      </w:r>
      <w:r w:rsidR="0038202C">
        <w:rPr>
          <w:lang w:val="en-US"/>
        </w:rPr>
        <w:t xml:space="preserve">for the economic regulator to </w:t>
      </w:r>
      <w:r w:rsidR="001A418F">
        <w:rPr>
          <w:lang w:val="en-US"/>
        </w:rPr>
        <w:t>acknowledge</w:t>
      </w:r>
      <w:r w:rsidR="00781898">
        <w:rPr>
          <w:lang w:val="en-US"/>
        </w:rPr>
        <w:t xml:space="preserve"> </w:t>
      </w:r>
      <w:r w:rsidR="007B0631">
        <w:rPr>
          <w:lang w:val="en-US"/>
        </w:rPr>
        <w:t xml:space="preserve">the context </w:t>
      </w:r>
      <w:r w:rsidR="004E50D0">
        <w:rPr>
          <w:lang w:val="en-US"/>
        </w:rPr>
        <w:t xml:space="preserve">of its work, </w:t>
      </w:r>
      <w:r w:rsidR="00781898">
        <w:rPr>
          <w:lang w:val="en-US"/>
        </w:rPr>
        <w:t xml:space="preserve">and </w:t>
      </w:r>
      <w:r w:rsidR="0038202C">
        <w:rPr>
          <w:lang w:val="en-US"/>
        </w:rPr>
        <w:t xml:space="preserve">be involved in these discussions. </w:t>
      </w:r>
    </w:p>
    <w:p w14:paraId="108796DC" w14:textId="77777777" w:rsidR="005E3297" w:rsidRDefault="005E3297" w:rsidP="006E2789">
      <w:pPr>
        <w:rPr>
          <w:lang w:val="en-US"/>
        </w:rPr>
      </w:pPr>
    </w:p>
    <w:p w14:paraId="0078362C" w14:textId="7522CF1F" w:rsidR="005E0C92" w:rsidRDefault="005E3297" w:rsidP="006E2789">
      <w:pPr>
        <w:rPr>
          <w:lang w:val="en-US"/>
        </w:rPr>
      </w:pPr>
      <w:r>
        <w:rPr>
          <w:lang w:val="en-US"/>
        </w:rPr>
        <w:t>PIAC is generally supportive of the draft price determination</w:t>
      </w:r>
      <w:r w:rsidR="000150B2">
        <w:rPr>
          <w:lang w:val="en-US"/>
        </w:rPr>
        <w:t xml:space="preserve">s for both Hunter Water and Sydney Water. PIAC has sought clarification </w:t>
      </w:r>
      <w:r w:rsidR="006E0A32">
        <w:rPr>
          <w:lang w:val="en-US"/>
        </w:rPr>
        <w:t>about</w:t>
      </w:r>
      <w:r w:rsidR="000150B2">
        <w:rPr>
          <w:lang w:val="en-US"/>
        </w:rPr>
        <w:t xml:space="preserve"> some points</w:t>
      </w:r>
      <w:r w:rsidR="00000D83">
        <w:rPr>
          <w:lang w:val="en-US"/>
        </w:rPr>
        <w:t xml:space="preserve">, including </w:t>
      </w:r>
      <w:r w:rsidR="007E71C8">
        <w:rPr>
          <w:lang w:val="en-US"/>
        </w:rPr>
        <w:t xml:space="preserve">protections for consumers </w:t>
      </w:r>
      <w:r w:rsidR="00000D83">
        <w:rPr>
          <w:lang w:val="en-US"/>
        </w:rPr>
        <w:t xml:space="preserve">who are </w:t>
      </w:r>
      <w:r w:rsidR="007E71C8">
        <w:rPr>
          <w:lang w:val="en-US"/>
        </w:rPr>
        <w:t>experienc</w:t>
      </w:r>
      <w:r w:rsidR="00000D83">
        <w:rPr>
          <w:lang w:val="en-US"/>
        </w:rPr>
        <w:t>ing</w:t>
      </w:r>
      <w:r w:rsidR="007E71C8">
        <w:rPr>
          <w:lang w:val="en-US"/>
        </w:rPr>
        <w:t xml:space="preserve"> hardship and</w:t>
      </w:r>
      <w:r w:rsidR="00000D83">
        <w:rPr>
          <w:lang w:val="en-US"/>
        </w:rPr>
        <w:t xml:space="preserve"> </w:t>
      </w:r>
      <w:r w:rsidR="00217308">
        <w:rPr>
          <w:lang w:val="en-US"/>
        </w:rPr>
        <w:t>around</w:t>
      </w:r>
      <w:r w:rsidR="007E71C8">
        <w:rPr>
          <w:lang w:val="en-US"/>
        </w:rPr>
        <w:t xml:space="preserve"> fees. In addition</w:t>
      </w:r>
      <w:r w:rsidR="00000D83">
        <w:rPr>
          <w:lang w:val="en-US"/>
        </w:rPr>
        <w:t>,</w:t>
      </w:r>
      <w:r w:rsidR="007E71C8">
        <w:rPr>
          <w:lang w:val="en-US"/>
        </w:rPr>
        <w:t xml:space="preserve"> </w:t>
      </w:r>
      <w:r w:rsidR="00000D83">
        <w:rPr>
          <w:lang w:val="en-US"/>
        </w:rPr>
        <w:t>PIAC has</w:t>
      </w:r>
      <w:r w:rsidR="007E71C8">
        <w:rPr>
          <w:lang w:val="en-US"/>
        </w:rPr>
        <w:t xml:space="preserve"> sought clarification of the process of </w:t>
      </w:r>
      <w:r w:rsidR="002A15F8">
        <w:rPr>
          <w:lang w:val="en-US"/>
        </w:rPr>
        <w:t>revaluat</w:t>
      </w:r>
      <w:r w:rsidR="00000D83">
        <w:rPr>
          <w:lang w:val="en-US"/>
        </w:rPr>
        <w:t>ing</w:t>
      </w:r>
      <w:r w:rsidR="002A15F8">
        <w:rPr>
          <w:lang w:val="en-US"/>
        </w:rPr>
        <w:t xml:space="preserve"> the age of</w:t>
      </w:r>
      <w:r w:rsidR="007E71C8">
        <w:rPr>
          <w:lang w:val="en-US"/>
        </w:rPr>
        <w:t xml:space="preserve"> Hunter Water’s </w:t>
      </w:r>
      <w:r w:rsidR="002A15F8">
        <w:rPr>
          <w:lang w:val="en-US"/>
        </w:rPr>
        <w:t xml:space="preserve">assets as this has a material impact on </w:t>
      </w:r>
      <w:r w:rsidR="00000D83">
        <w:rPr>
          <w:lang w:val="en-US"/>
        </w:rPr>
        <w:t xml:space="preserve">the bills of </w:t>
      </w:r>
      <w:r w:rsidR="002A15F8">
        <w:rPr>
          <w:lang w:val="en-US"/>
        </w:rPr>
        <w:t>Hunter Water customers</w:t>
      </w:r>
      <w:r w:rsidR="00457F97">
        <w:rPr>
          <w:lang w:val="en-US"/>
        </w:rPr>
        <w:t xml:space="preserve">. </w:t>
      </w:r>
    </w:p>
    <w:p w14:paraId="357211D4" w14:textId="77777777" w:rsidR="005E0C92" w:rsidRDefault="005E0C92" w:rsidP="006E2789">
      <w:pPr>
        <w:rPr>
          <w:lang w:val="en-US"/>
        </w:rPr>
      </w:pPr>
    </w:p>
    <w:p w14:paraId="3CB322CE" w14:textId="5370CE46" w:rsidR="005E3297" w:rsidRDefault="00457F97" w:rsidP="006E2789">
      <w:pPr>
        <w:rPr>
          <w:lang w:val="en-US"/>
        </w:rPr>
      </w:pPr>
      <w:r>
        <w:rPr>
          <w:lang w:val="en-US"/>
        </w:rPr>
        <w:t xml:space="preserve">Finally, PIAC </w:t>
      </w:r>
      <w:r w:rsidR="00DA165D">
        <w:rPr>
          <w:lang w:val="en-US"/>
        </w:rPr>
        <w:t xml:space="preserve">thanks IPART for the opportunity to comment, and </w:t>
      </w:r>
      <w:r>
        <w:rPr>
          <w:lang w:val="en-US"/>
        </w:rPr>
        <w:t>looks forward to be</w:t>
      </w:r>
      <w:r w:rsidR="00217308">
        <w:rPr>
          <w:lang w:val="en-US"/>
        </w:rPr>
        <w:t>ing</w:t>
      </w:r>
      <w:r>
        <w:rPr>
          <w:lang w:val="en-US"/>
        </w:rPr>
        <w:t xml:space="preserve"> involved in discussions as the regulatory changes </w:t>
      </w:r>
      <w:r w:rsidR="00AC2095">
        <w:rPr>
          <w:lang w:val="en-US"/>
        </w:rPr>
        <w:t>made</w:t>
      </w:r>
      <w:r>
        <w:rPr>
          <w:lang w:val="en-US"/>
        </w:rPr>
        <w:t xml:space="preserve"> by IPART are developed and implemented. </w:t>
      </w:r>
    </w:p>
    <w:p w14:paraId="3CF8DF1B" w14:textId="77777777" w:rsidR="000150B2" w:rsidRDefault="000150B2" w:rsidP="006E2789">
      <w:pPr>
        <w:rPr>
          <w:lang w:val="en-US"/>
        </w:rPr>
      </w:pPr>
    </w:p>
    <w:p w14:paraId="637741B5" w14:textId="07A35D09" w:rsidR="00C330B2" w:rsidRDefault="00C330B2" w:rsidP="006E2789"/>
    <w:p w14:paraId="47EA58CD" w14:textId="77777777" w:rsidR="00C330B2" w:rsidRDefault="00C330B2"/>
    <w:p w14:paraId="11344BE5" w14:textId="77777777" w:rsidR="00C330B2" w:rsidRDefault="00C330B2"/>
    <w:sectPr w:rsidR="00C330B2">
      <w:headerReference w:type="default" r:id="rId11"/>
      <w:footerReference w:type="even" r:id="rId12"/>
      <w:footerReference w:type="default" r:id="rId13"/>
      <w:pgSz w:w="11901" w:h="16840"/>
      <w:pgMar w:top="1701" w:right="992" w:bottom="1701" w:left="1418" w:header="851" w:footer="822"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806E5" w14:textId="77777777" w:rsidR="006E0A32" w:rsidRDefault="006E0A32">
      <w:r>
        <w:separator/>
      </w:r>
    </w:p>
  </w:endnote>
  <w:endnote w:type="continuationSeparator" w:id="0">
    <w:p w14:paraId="11BC862F" w14:textId="77777777" w:rsidR="006E0A32" w:rsidRDefault="006E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yriad Pro Light">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47574" w14:textId="77777777" w:rsidR="006E0A32" w:rsidRDefault="006E0A32">
    <w:pPr>
      <w:pStyle w:val="Footer"/>
    </w:pPr>
    <w:r>
      <w:rPr>
        <w:noProof/>
        <w:lang w:val="en-US"/>
      </w:rPr>
      <mc:AlternateContent>
        <mc:Choice Requires="wps">
          <w:drawing>
            <wp:anchor distT="0" distB="0" distL="114300" distR="114300" simplePos="0" relativeHeight="251657728" behindDoc="0" locked="0" layoutInCell="1" allowOverlap="0" wp14:anchorId="724882C2" wp14:editId="62CD43D6">
              <wp:simplePos x="0" y="0"/>
              <wp:positionH relativeFrom="column">
                <wp:posOffset>-163195</wp:posOffset>
              </wp:positionH>
              <wp:positionV relativeFrom="page">
                <wp:posOffset>9718040</wp:posOffset>
              </wp:positionV>
              <wp:extent cx="4114800" cy="457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3806C" w14:textId="77777777" w:rsidR="006E0A32" w:rsidRDefault="006E0A32" w:rsidP="00521EFA">
                          <w:pPr>
                            <w:rPr>
                              <w:sz w:val="20"/>
                            </w:rPr>
                          </w:pPr>
                          <w:r>
                            <w:rPr>
                              <w:sz w:val="20"/>
                            </w:rPr>
                            <w:t>Level 5, 175 Liverpool Street, Sydney NSW 2000</w:t>
                          </w:r>
                        </w:p>
                        <w:p w14:paraId="55D299DB" w14:textId="77777777" w:rsidR="006E0A32" w:rsidRPr="00EC7B6E" w:rsidRDefault="006E0A32">
                          <w:pPr>
                            <w:rPr>
                              <w:sz w:val="20"/>
                            </w:rPr>
                          </w:pPr>
                          <w:r w:rsidRPr="00EC7B6E">
                            <w:rPr>
                              <w:sz w:val="20"/>
                            </w:rPr>
                            <w:t xml:space="preserve">Phone: 61 2 8898 6500 </w:t>
                          </w:r>
                          <w:r w:rsidRPr="00EC7B6E">
                            <w:rPr>
                              <w:sz w:val="20"/>
                            </w:rPr>
                            <w:sym w:font="Symbol" w:char="F0B7"/>
                          </w:r>
                          <w:r w:rsidRPr="00EC7B6E">
                            <w:rPr>
                              <w:sz w:val="20"/>
                            </w:rPr>
                            <w:t xml:space="preserve"> Fax: 61 2 8898 6555 </w:t>
                          </w:r>
                          <w:r w:rsidRPr="00EC7B6E">
                            <w:rPr>
                              <w:sz w:val="20"/>
                            </w:rPr>
                            <w:sym w:font="Symbol" w:char="F0B7"/>
                          </w:r>
                          <w:r w:rsidRPr="00EC7B6E">
                            <w:rPr>
                              <w:sz w:val="20"/>
                            </w:rPr>
                            <w:t xml:space="preserve"> www.piac.asn.au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30" type="#_x0000_t202" style="position:absolute;margin-left:-12.8pt;margin-top:765.2pt;width:32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" o:allowoverlap="f" stroked="f">
              <v:textbox>
                <w:txbxContent>
                  <w:p w14:paraId="5F33806C" w14:textId="77777777" w:rsidR="002A15F8" w:rsidRDefault="002A15F8" w:rsidP="00521EFA">
                    <w:pPr>
                      <w:rPr>
                        <w:sz w:val="20"/>
                      </w:rPr>
                    </w:pPr>
                    <w:r>
                      <w:rPr>
                        <w:sz w:val="20"/>
                      </w:rPr>
                      <w:t>Level 5, 175 Liverpool Street, Sydney NSW 2000</w:t>
                    </w:r>
                  </w:p>
                  <w:p w14:paraId="55D299DB" w14:textId="77777777" w:rsidR="002A15F8" w:rsidRPr="00EC7B6E" w:rsidRDefault="002A15F8">
                    <w:pPr>
                      <w:rPr>
                        <w:sz w:val="20"/>
                      </w:rPr>
                    </w:pPr>
                    <w:r w:rsidRPr="00EC7B6E">
                      <w:rPr>
                        <w:sz w:val="20"/>
                      </w:rPr>
                      <w:t xml:space="preserve">Phone: 61 2 8898 6500 </w:t>
                    </w:r>
                    <w:r w:rsidRPr="00EC7B6E">
                      <w:rPr>
                        <w:sz w:val="20"/>
                      </w:rPr>
                      <w:sym w:font="Symbol" w:char="F0B7"/>
                    </w:r>
                    <w:r w:rsidRPr="00EC7B6E">
                      <w:rPr>
                        <w:sz w:val="20"/>
                      </w:rPr>
                      <w:t xml:space="preserve"> Fax: 61 2 8898 6555 </w:t>
                    </w:r>
                    <w:r w:rsidRPr="00EC7B6E">
                      <w:rPr>
                        <w:sz w:val="20"/>
                      </w:rPr>
                      <w:sym w:font="Symbol" w:char="F0B7"/>
                    </w:r>
                    <w:r w:rsidRPr="00EC7B6E">
                      <w:rPr>
                        <w:sz w:val="20"/>
                      </w:rPr>
                      <w:t xml:space="preserve"> www.piac.asn.au</w:t>
                    </w:r>
                  </w:p>
                </w:txbxContent>
              </v:textbox>
              <w10:wrap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23444" w14:textId="31DC7D18" w:rsidR="006E0A32" w:rsidRPr="00EC7B6E" w:rsidRDefault="006E0A32" w:rsidP="00414B00">
    <w:pPr>
      <w:pStyle w:val="Footer"/>
      <w:pBdr>
        <w:top w:val="dotted" w:sz="4" w:space="1" w:color="auto"/>
      </w:pBdr>
      <w:spacing w:before="240"/>
      <w:ind w:right="357"/>
      <w:rPr>
        <w:rStyle w:val="PageNumber"/>
      </w:rPr>
    </w:pPr>
    <w:r w:rsidRPr="00EC7B6E">
      <w:rPr>
        <w:rStyle w:val="PageNumber"/>
      </w:rPr>
      <w:fldChar w:fldCharType="begin"/>
    </w:r>
    <w:r w:rsidRPr="00EC7B6E">
      <w:rPr>
        <w:rStyle w:val="PageNumber"/>
      </w:rPr>
      <w:instrText xml:space="preserve"> PAGE </w:instrText>
    </w:r>
    <w:r w:rsidRPr="00EC7B6E">
      <w:rPr>
        <w:rStyle w:val="PageNumber"/>
      </w:rPr>
      <w:fldChar w:fldCharType="separate"/>
    </w:r>
    <w:r w:rsidR="00D577A3">
      <w:rPr>
        <w:rStyle w:val="PageNumber"/>
        <w:noProof/>
      </w:rPr>
      <w:t>2</w:t>
    </w:r>
    <w:r w:rsidRPr="00EC7B6E">
      <w:rPr>
        <w:rStyle w:val="PageNumber"/>
      </w:rPr>
      <w:fldChar w:fldCharType="end"/>
    </w:r>
    <w:r w:rsidRPr="00EC7B6E">
      <w:rPr>
        <w:rStyle w:val="PageNumber"/>
      </w:rPr>
      <w:t xml:space="preserve"> • Public Interest Advocacy Centre • </w:t>
    </w:r>
    <w:r w:rsidRPr="00414B00">
      <w:rPr>
        <w:sz w:val="20"/>
      </w:rPr>
      <w:t>The price is right?</w:t>
    </w:r>
    <w:r w:rsidRPr="00414B00">
      <w:rPr>
        <w:b/>
        <w:sz w:val="20"/>
      </w:rPr>
      <w:t xml:space="preserve"> </w:t>
    </w:r>
    <w:r w:rsidRPr="00414B00" w:rsidDel="00414B00">
      <w:rPr>
        <w:sz w:val="20"/>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BAF40" w14:textId="315C5533" w:rsidR="006E0A32" w:rsidRDefault="006E0A32">
    <w:pPr>
      <w:pStyle w:val="Footer"/>
      <w:pBdr>
        <w:top w:val="dotted" w:sz="4" w:space="1" w:color="auto"/>
      </w:pBdr>
      <w:spacing w:before="240"/>
      <w:ind w:right="-29"/>
      <w:jc w:val="right"/>
      <w:rPr>
        <w:sz w:val="20"/>
      </w:rPr>
    </w:pPr>
    <w:r>
      <w:rPr>
        <w:rStyle w:val="PageNumber"/>
      </w:rPr>
      <w:t xml:space="preserve">Public Interest Advocacy Centre • </w:t>
    </w:r>
    <w:r w:rsidRPr="00414B00">
      <w:rPr>
        <w:sz w:val="20"/>
      </w:rPr>
      <w:t>The price is right?</w:t>
    </w:r>
    <w:r w:rsidRPr="00414B00">
      <w:rPr>
        <w:b/>
        <w:sz w:val="20"/>
      </w:rPr>
      <w:t xml:space="preserve"> </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D577A3">
      <w:rPr>
        <w:rStyle w:val="PageNumber"/>
        <w:noProof/>
      </w:rPr>
      <w:t>3</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DBF31" w14:textId="77777777" w:rsidR="006E0A32" w:rsidRDefault="006E0A32">
      <w:r>
        <w:separator/>
      </w:r>
    </w:p>
  </w:footnote>
  <w:footnote w:type="continuationSeparator" w:id="0">
    <w:p w14:paraId="18AED23C" w14:textId="77777777" w:rsidR="006E0A32" w:rsidRDefault="006E0A32">
      <w:r>
        <w:continuationSeparator/>
      </w:r>
    </w:p>
  </w:footnote>
  <w:footnote w:id="1">
    <w:p w14:paraId="05DE46F3" w14:textId="28F9648C" w:rsidR="006E0A32" w:rsidRPr="008A438A" w:rsidRDefault="006E0A32">
      <w:pPr>
        <w:pStyle w:val="FootnoteText"/>
        <w:rPr>
          <w:lang w:val="en-US"/>
        </w:rPr>
      </w:pPr>
      <w:r>
        <w:rPr>
          <w:rStyle w:val="FootnoteReference"/>
        </w:rPr>
        <w:footnoteRef/>
      </w:r>
      <w:r>
        <w:t xml:space="preserve"> </w:t>
      </w:r>
      <w:r>
        <w:tab/>
        <w:t xml:space="preserve">IPART </w:t>
      </w:r>
      <w:r w:rsidRPr="00C32F47">
        <w:rPr>
          <w:i/>
        </w:rPr>
        <w:t>Review of prices for Sydney Water Corporation. From 1 July 2016 to 30 June 2020</w:t>
      </w:r>
      <w:r>
        <w:t xml:space="preserve">. </w:t>
      </w:r>
      <w:proofErr w:type="gramStart"/>
      <w:r>
        <w:t>Water – Draft Report.</w:t>
      </w:r>
      <w:proofErr w:type="gramEnd"/>
      <w:r>
        <w:t xml:space="preserve"> 2016.</w:t>
      </w:r>
    </w:p>
  </w:footnote>
  <w:footnote w:id="2">
    <w:p w14:paraId="33676C6F" w14:textId="02932495" w:rsidR="006E0A32" w:rsidRPr="008A438A" w:rsidRDefault="006E0A32" w:rsidP="008A438A">
      <w:pPr>
        <w:pStyle w:val="FootnoteText"/>
      </w:pPr>
      <w:r>
        <w:rPr>
          <w:rStyle w:val="FootnoteReference"/>
        </w:rPr>
        <w:footnoteRef/>
      </w:r>
      <w:r>
        <w:t xml:space="preserve"> </w:t>
      </w:r>
      <w:r>
        <w:tab/>
        <w:t xml:space="preserve">IPART </w:t>
      </w:r>
      <w:r w:rsidRPr="00C32F47">
        <w:rPr>
          <w:i/>
        </w:rPr>
        <w:t>Review of prices for Hunter Water Corporation From 1 July 2016 to 30 June 2020</w:t>
      </w:r>
      <w:r>
        <w:t xml:space="preserve">. </w:t>
      </w:r>
      <w:proofErr w:type="gramStart"/>
      <w:r>
        <w:t>Water – Draft Report.</w:t>
      </w:r>
      <w:proofErr w:type="gramEnd"/>
      <w:r>
        <w:t xml:space="preserve"> 2016.</w:t>
      </w:r>
    </w:p>
  </w:footnote>
  <w:footnote w:id="3">
    <w:p w14:paraId="2A9167C2" w14:textId="61EF13CF" w:rsidR="006E0A32" w:rsidRPr="003B140B" w:rsidRDefault="006E0A32">
      <w:pPr>
        <w:pStyle w:val="FootnoteText"/>
        <w:rPr>
          <w:lang w:val="en-US"/>
        </w:rPr>
      </w:pPr>
      <w:r>
        <w:rPr>
          <w:rStyle w:val="FootnoteReference"/>
        </w:rPr>
        <w:footnoteRef/>
      </w:r>
      <w:r>
        <w:t xml:space="preserve"> </w:t>
      </w:r>
      <w:r>
        <w:rPr>
          <w:lang w:val="en-US"/>
        </w:rPr>
        <w:tab/>
        <w:t xml:space="preserve">IPART see above n </w:t>
      </w:r>
      <w:r>
        <w:rPr>
          <w:lang w:val="en-US"/>
        </w:rPr>
        <w:fldChar w:fldCharType="begin"/>
      </w:r>
      <w:r>
        <w:rPr>
          <w:lang w:val="en-US"/>
        </w:rPr>
        <w:instrText xml:space="preserve"> NOTEREF _Ref321744742 \h </w:instrText>
      </w:r>
      <w:r>
        <w:rPr>
          <w:lang w:val="en-US"/>
        </w:rPr>
      </w:r>
      <w:r>
        <w:rPr>
          <w:lang w:val="en-US"/>
        </w:rPr>
        <w:fldChar w:fldCharType="separate"/>
      </w:r>
      <w:r>
        <w:rPr>
          <w:lang w:val="en-US"/>
        </w:rPr>
        <w:t>1</w:t>
      </w:r>
      <w:r>
        <w:rPr>
          <w:lang w:val="en-US"/>
        </w:rPr>
        <w:fldChar w:fldCharType="end"/>
      </w:r>
      <w:proofErr w:type="gramStart"/>
      <w:r>
        <w:rPr>
          <w:lang w:val="en-US"/>
        </w:rPr>
        <w:t>,179</w:t>
      </w:r>
      <w:proofErr w:type="gramEnd"/>
      <w:r>
        <w:rPr>
          <w:lang w:val="en-US"/>
        </w:rPr>
        <w:t xml:space="preserve"> and 181.</w:t>
      </w:r>
    </w:p>
  </w:footnote>
  <w:footnote w:id="4">
    <w:p w14:paraId="77DD2004" w14:textId="132DF87E" w:rsidR="006E0A32" w:rsidRPr="00A83D79" w:rsidRDefault="006E0A32">
      <w:pPr>
        <w:pStyle w:val="FootnoteText"/>
        <w:rPr>
          <w:lang w:val="en-US"/>
        </w:rPr>
      </w:pPr>
      <w:r>
        <w:rPr>
          <w:rStyle w:val="FootnoteReference"/>
        </w:rPr>
        <w:footnoteRef/>
      </w:r>
      <w:r>
        <w:t xml:space="preserve"> </w:t>
      </w:r>
      <w:r>
        <w:rPr>
          <w:lang w:val="en-US"/>
        </w:rPr>
        <w:tab/>
      </w:r>
      <w:proofErr w:type="gramStart"/>
      <w:r>
        <w:rPr>
          <w:lang w:val="en-US"/>
        </w:rPr>
        <w:t>Ibid 12.</w:t>
      </w:r>
      <w:proofErr w:type="gramEnd"/>
    </w:p>
  </w:footnote>
  <w:footnote w:id="5">
    <w:p w14:paraId="4BC653C9" w14:textId="7F8AC831" w:rsidR="006E0A32" w:rsidRPr="00A83D79" w:rsidRDefault="006E0A32">
      <w:pPr>
        <w:pStyle w:val="FootnoteText"/>
        <w:rPr>
          <w:lang w:val="en-US"/>
        </w:rPr>
      </w:pPr>
      <w:r>
        <w:rPr>
          <w:rStyle w:val="FootnoteReference"/>
        </w:rPr>
        <w:footnoteRef/>
      </w:r>
      <w:r>
        <w:t xml:space="preserve"> </w:t>
      </w:r>
      <w:r>
        <w:rPr>
          <w:lang w:val="en-US"/>
        </w:rPr>
        <w:tab/>
      </w:r>
      <w:proofErr w:type="gramStart"/>
      <w:r>
        <w:rPr>
          <w:lang w:val="en-US"/>
        </w:rPr>
        <w:t>Ibid 124.</w:t>
      </w:r>
      <w:proofErr w:type="gramEnd"/>
    </w:p>
  </w:footnote>
  <w:footnote w:id="6">
    <w:p w14:paraId="2DE2D628" w14:textId="2BD7E86F" w:rsidR="006E0A32" w:rsidRPr="004C0E90" w:rsidRDefault="006E0A32">
      <w:pPr>
        <w:pStyle w:val="FootnoteText"/>
        <w:rPr>
          <w:lang w:val="en-US"/>
        </w:rPr>
      </w:pPr>
      <w:r>
        <w:rPr>
          <w:rStyle w:val="FootnoteReference"/>
        </w:rPr>
        <w:footnoteRef/>
      </w:r>
      <w:r>
        <w:t xml:space="preserve"> </w:t>
      </w:r>
      <w:r>
        <w:rPr>
          <w:lang w:val="en-US"/>
        </w:rPr>
        <w:tab/>
        <w:t xml:space="preserve">IPART see above n </w:t>
      </w:r>
      <w:r>
        <w:rPr>
          <w:lang w:val="en-US"/>
        </w:rPr>
        <w:fldChar w:fldCharType="begin"/>
      </w:r>
      <w:r>
        <w:rPr>
          <w:lang w:val="en-US"/>
        </w:rPr>
        <w:instrText xml:space="preserve"> NOTEREF _Ref321744792 \h </w:instrText>
      </w:r>
      <w:r>
        <w:rPr>
          <w:lang w:val="en-US"/>
        </w:rPr>
      </w:r>
      <w:r>
        <w:rPr>
          <w:lang w:val="en-US"/>
        </w:rPr>
        <w:fldChar w:fldCharType="separate"/>
      </w:r>
      <w:r>
        <w:rPr>
          <w:lang w:val="en-US"/>
        </w:rPr>
        <w:t>2</w:t>
      </w:r>
      <w:r>
        <w:rPr>
          <w:lang w:val="en-US"/>
        </w:rPr>
        <w:fldChar w:fldCharType="end"/>
      </w:r>
      <w:r>
        <w:rPr>
          <w:lang w:val="en-US"/>
        </w:rPr>
        <w:t>, 90.</w:t>
      </w:r>
    </w:p>
  </w:footnote>
  <w:footnote w:id="7">
    <w:p w14:paraId="268318D7" w14:textId="771F7079" w:rsidR="006E0A32" w:rsidRPr="00BF374F" w:rsidRDefault="006E0A32">
      <w:pPr>
        <w:pStyle w:val="FootnoteText"/>
        <w:rPr>
          <w:lang w:val="en-US"/>
        </w:rPr>
      </w:pPr>
      <w:r>
        <w:rPr>
          <w:rStyle w:val="FootnoteReference"/>
        </w:rPr>
        <w:footnoteRef/>
      </w:r>
      <w:r>
        <w:t xml:space="preserve"> </w:t>
      </w:r>
      <w:r>
        <w:rPr>
          <w:lang w:val="en-US"/>
        </w:rPr>
        <w:tab/>
        <w:t>Ibid142.</w:t>
      </w:r>
    </w:p>
  </w:footnote>
  <w:footnote w:id="8">
    <w:p w14:paraId="0EB2DF2C" w14:textId="36DEB446" w:rsidR="006E0A32" w:rsidRPr="005F759D" w:rsidRDefault="006E0A32">
      <w:pPr>
        <w:pStyle w:val="FootnoteText"/>
        <w:rPr>
          <w:lang w:val="en-US"/>
        </w:rPr>
      </w:pPr>
      <w:r>
        <w:rPr>
          <w:rStyle w:val="FootnoteReference"/>
        </w:rPr>
        <w:footnoteRef/>
      </w:r>
      <w:r>
        <w:t xml:space="preserve"> </w:t>
      </w:r>
      <w:r>
        <w:rPr>
          <w:lang w:val="en-US"/>
        </w:rPr>
        <w:tab/>
      </w:r>
      <w:proofErr w:type="gramStart"/>
      <w:r>
        <w:rPr>
          <w:lang w:val="en-US"/>
        </w:rPr>
        <w:t>Ibid 144.</w:t>
      </w:r>
      <w:proofErr w:type="gramEnd"/>
    </w:p>
  </w:footnote>
  <w:footnote w:id="9">
    <w:p w14:paraId="0BD98EB1" w14:textId="79759AEF" w:rsidR="006E0A32" w:rsidRPr="00595E6D" w:rsidRDefault="006E0A32" w:rsidP="009F362E">
      <w:pPr>
        <w:pStyle w:val="FootnoteText"/>
        <w:rPr>
          <w:lang w:val="en-US"/>
        </w:rPr>
      </w:pPr>
      <w:r>
        <w:rPr>
          <w:rStyle w:val="FootnoteReference"/>
        </w:rPr>
        <w:footnoteRef/>
      </w:r>
      <w:r>
        <w:t xml:space="preserve"> </w:t>
      </w:r>
      <w:r>
        <w:rPr>
          <w:lang w:val="en-US"/>
        </w:rPr>
        <w:tab/>
        <w:t xml:space="preserve">IPART see above no </w:t>
      </w:r>
      <w:r>
        <w:rPr>
          <w:lang w:val="en-US"/>
        </w:rPr>
        <w:fldChar w:fldCharType="begin"/>
      </w:r>
      <w:r>
        <w:rPr>
          <w:lang w:val="en-US"/>
        </w:rPr>
        <w:instrText xml:space="preserve"> NOTEREF _Ref321744742 \h </w:instrText>
      </w:r>
      <w:r>
        <w:rPr>
          <w:lang w:val="en-US"/>
        </w:rPr>
      </w:r>
      <w:r>
        <w:rPr>
          <w:lang w:val="en-US"/>
        </w:rPr>
        <w:fldChar w:fldCharType="separate"/>
      </w:r>
      <w:r>
        <w:rPr>
          <w:lang w:val="en-US"/>
        </w:rPr>
        <w:t>1</w:t>
      </w:r>
      <w:r>
        <w:rPr>
          <w:lang w:val="en-US"/>
        </w:rPr>
        <w:fldChar w:fldCharType="end"/>
      </w:r>
      <w:r>
        <w:rPr>
          <w:lang w:val="en-US"/>
        </w:rPr>
        <w:t xml:space="preserve">, 71 and </w:t>
      </w:r>
      <w:r w:rsidRPr="00595E6D">
        <w:rPr>
          <w:lang w:val="en-US"/>
        </w:rPr>
        <w:t xml:space="preserve">Jacobs, </w:t>
      </w:r>
      <w:r w:rsidRPr="00595E6D">
        <w:rPr>
          <w:i/>
          <w:iCs/>
          <w:lang w:val="en-US"/>
        </w:rPr>
        <w:t>Hunter Water expenditure review – Final Report</w:t>
      </w:r>
      <w:r>
        <w:rPr>
          <w:lang w:val="en-US"/>
        </w:rPr>
        <w:t>, 2016, 205-208.</w:t>
      </w:r>
    </w:p>
    <w:p w14:paraId="57BC51E9" w14:textId="25CA550E" w:rsidR="006E0A32" w:rsidRPr="00595E6D" w:rsidRDefault="006E0A32">
      <w:pPr>
        <w:pStyle w:val="FootnoteText"/>
        <w:rPr>
          <w:lang w:val="en-US"/>
        </w:rPr>
      </w:pPr>
    </w:p>
  </w:footnote>
  <w:footnote w:id="10">
    <w:p w14:paraId="1F169B60" w14:textId="1C9AADE0" w:rsidR="006E0A32" w:rsidRPr="00E82F23" w:rsidRDefault="006E0A32">
      <w:pPr>
        <w:pStyle w:val="FootnoteText"/>
        <w:rPr>
          <w:lang w:val="en-US"/>
        </w:rPr>
      </w:pPr>
      <w:r>
        <w:rPr>
          <w:rStyle w:val="FootnoteReference"/>
        </w:rPr>
        <w:footnoteRef/>
      </w:r>
      <w:r>
        <w:t xml:space="preserve"> </w:t>
      </w:r>
      <w:r>
        <w:rPr>
          <w:lang w:val="en-US"/>
        </w:rPr>
        <w:tab/>
        <w:t xml:space="preserve">IPART see above n </w:t>
      </w:r>
      <w:r>
        <w:rPr>
          <w:lang w:val="en-US"/>
        </w:rPr>
        <w:fldChar w:fldCharType="begin"/>
      </w:r>
      <w:r>
        <w:rPr>
          <w:lang w:val="en-US"/>
        </w:rPr>
        <w:instrText xml:space="preserve"> NOTEREF _Ref321744792 \h </w:instrText>
      </w:r>
      <w:r>
        <w:rPr>
          <w:lang w:val="en-US"/>
        </w:rPr>
      </w:r>
      <w:r>
        <w:rPr>
          <w:lang w:val="en-US"/>
        </w:rPr>
        <w:fldChar w:fldCharType="separate"/>
      </w:r>
      <w:r>
        <w:rPr>
          <w:lang w:val="en-US"/>
        </w:rPr>
        <w:t>2</w:t>
      </w:r>
      <w:r>
        <w:rPr>
          <w:lang w:val="en-US"/>
        </w:rPr>
        <w:fldChar w:fldCharType="end"/>
      </w:r>
      <w:r>
        <w:rPr>
          <w:lang w:val="en-US"/>
        </w:rPr>
        <w:t xml:space="preserve"> 21-26</w:t>
      </w:r>
      <w:proofErr w:type="gramStart"/>
      <w:r>
        <w:rPr>
          <w:lang w:val="en-US"/>
        </w:rPr>
        <w:t>;</w:t>
      </w:r>
      <w:proofErr w:type="gramEnd"/>
      <w:r>
        <w:rPr>
          <w:lang w:val="en-US"/>
        </w:rPr>
        <w:t xml:space="preserve"> IPART see above n </w:t>
      </w:r>
      <w:r>
        <w:rPr>
          <w:lang w:val="en-US"/>
        </w:rPr>
        <w:fldChar w:fldCharType="begin"/>
      </w:r>
      <w:r>
        <w:rPr>
          <w:lang w:val="en-US"/>
        </w:rPr>
        <w:instrText xml:space="preserve"> NOTEREF _Ref321744742 \h </w:instrText>
      </w:r>
      <w:r>
        <w:rPr>
          <w:lang w:val="en-US"/>
        </w:rPr>
      </w:r>
      <w:r>
        <w:rPr>
          <w:lang w:val="en-US"/>
        </w:rPr>
        <w:fldChar w:fldCharType="separate"/>
      </w:r>
      <w:r>
        <w:rPr>
          <w:lang w:val="en-US"/>
        </w:rPr>
        <w:t>1</w:t>
      </w:r>
      <w:r>
        <w:rPr>
          <w:lang w:val="en-US"/>
        </w:rPr>
        <w:fldChar w:fldCharType="end"/>
      </w:r>
      <w:r>
        <w:rPr>
          <w:lang w:val="en-US"/>
        </w:rPr>
        <w:t>, 30-35.</w:t>
      </w:r>
    </w:p>
  </w:footnote>
  <w:footnote w:id="11">
    <w:p w14:paraId="2F04FD85" w14:textId="6D760710" w:rsidR="006E0A32" w:rsidRPr="002D78B6" w:rsidRDefault="006E0A32">
      <w:pPr>
        <w:pStyle w:val="FootnoteText"/>
        <w:rPr>
          <w:lang w:val="en-US"/>
        </w:rPr>
      </w:pPr>
      <w:r>
        <w:rPr>
          <w:rStyle w:val="FootnoteReference"/>
        </w:rPr>
        <w:footnoteRef/>
      </w:r>
      <w:r>
        <w:t xml:space="preserve"> </w:t>
      </w:r>
      <w:r>
        <w:rPr>
          <w:lang w:val="en-US"/>
        </w:rPr>
        <w:tab/>
        <w:t xml:space="preserve">Cambridge Economic Policy Associates </w:t>
      </w:r>
      <w:r w:rsidRPr="0052102D">
        <w:rPr>
          <w:i/>
          <w:lang w:val="en-US"/>
        </w:rPr>
        <w:t>Advice on efficiency carryover mechanisms Independent Pricing and Regulatory Tribunal (IPART)</w:t>
      </w:r>
      <w:r>
        <w:rPr>
          <w:lang w:val="en-US"/>
        </w:rPr>
        <w:t xml:space="preserve"> – Final Report. </w:t>
      </w:r>
      <w:proofErr w:type="gramStart"/>
      <w:r>
        <w:rPr>
          <w:lang w:val="en-US"/>
        </w:rPr>
        <w:t>2016, 40.</w:t>
      </w:r>
      <w:proofErr w:type="gramEnd"/>
    </w:p>
  </w:footnote>
  <w:footnote w:id="12">
    <w:p w14:paraId="572D00BA" w14:textId="0F0D0013" w:rsidR="006E0A32" w:rsidRPr="00B77BD2" w:rsidRDefault="006E0A32" w:rsidP="006E2789">
      <w:pPr>
        <w:pStyle w:val="FootnoteText"/>
        <w:rPr>
          <w:lang w:val="en-US"/>
        </w:rPr>
      </w:pPr>
      <w:r>
        <w:rPr>
          <w:rStyle w:val="FootnoteReference"/>
        </w:rPr>
        <w:footnoteRef/>
      </w:r>
      <w:r>
        <w:t xml:space="preserve"> </w:t>
      </w:r>
      <w:r>
        <w:rPr>
          <w:lang w:val="en-US"/>
        </w:rPr>
        <w:tab/>
        <w:t xml:space="preserve">IPART see above n </w:t>
      </w:r>
      <w:r>
        <w:rPr>
          <w:lang w:val="en-US"/>
        </w:rPr>
        <w:fldChar w:fldCharType="begin"/>
      </w:r>
      <w:r>
        <w:rPr>
          <w:lang w:val="en-US"/>
        </w:rPr>
        <w:instrText xml:space="preserve"> NOTEREF _Ref321744792 \h </w:instrText>
      </w:r>
      <w:r>
        <w:rPr>
          <w:lang w:val="en-US"/>
        </w:rPr>
      </w:r>
      <w:r>
        <w:rPr>
          <w:lang w:val="en-US"/>
        </w:rPr>
        <w:fldChar w:fldCharType="separate"/>
      </w:r>
      <w:r>
        <w:rPr>
          <w:lang w:val="en-US"/>
        </w:rPr>
        <w:t>2</w:t>
      </w:r>
      <w:r>
        <w:rPr>
          <w:lang w:val="en-US"/>
        </w:rPr>
        <w:fldChar w:fldCharType="end"/>
      </w:r>
      <w:r>
        <w:rPr>
          <w:lang w:val="en-US"/>
        </w:rPr>
        <w:t>, 26-29</w:t>
      </w:r>
      <w:proofErr w:type="gramStart"/>
      <w:r>
        <w:rPr>
          <w:lang w:val="en-US"/>
        </w:rPr>
        <w:t>;</w:t>
      </w:r>
      <w:proofErr w:type="gramEnd"/>
      <w:r>
        <w:rPr>
          <w:lang w:val="en-US"/>
        </w:rPr>
        <w:t xml:space="preserve"> IPART see above n </w:t>
      </w:r>
      <w:r>
        <w:rPr>
          <w:lang w:val="en-US"/>
        </w:rPr>
        <w:fldChar w:fldCharType="begin"/>
      </w:r>
      <w:r>
        <w:rPr>
          <w:lang w:val="en-US"/>
        </w:rPr>
        <w:instrText xml:space="preserve"> NOTEREF _Ref321744742 \h </w:instrText>
      </w:r>
      <w:r>
        <w:rPr>
          <w:lang w:val="en-US"/>
        </w:rPr>
      </w:r>
      <w:r>
        <w:rPr>
          <w:lang w:val="en-US"/>
        </w:rPr>
        <w:fldChar w:fldCharType="separate"/>
      </w:r>
      <w:r>
        <w:rPr>
          <w:lang w:val="en-US"/>
        </w:rPr>
        <w:t>1</w:t>
      </w:r>
      <w:r>
        <w:rPr>
          <w:lang w:val="en-US"/>
        </w:rPr>
        <w:fldChar w:fldCharType="end"/>
      </w:r>
      <w:r>
        <w:rPr>
          <w:lang w:val="en-US"/>
        </w:rPr>
        <w:t>, 36-41.</w:t>
      </w:r>
    </w:p>
  </w:footnote>
  <w:footnote w:id="13">
    <w:p w14:paraId="4DFBD367" w14:textId="3AC18FCB" w:rsidR="006E0A32" w:rsidRPr="0052102D" w:rsidRDefault="006E0A32">
      <w:pPr>
        <w:pStyle w:val="FootnoteText"/>
        <w:rPr>
          <w:lang w:val="en-US"/>
        </w:rPr>
      </w:pPr>
      <w:r>
        <w:rPr>
          <w:rStyle w:val="FootnoteReference"/>
        </w:rPr>
        <w:footnoteRef/>
      </w:r>
      <w:r>
        <w:t xml:space="preserve"> </w:t>
      </w:r>
      <w:r>
        <w:rPr>
          <w:lang w:val="en-US"/>
        </w:rPr>
        <w:tab/>
        <w:t xml:space="preserve">IPART see above n </w:t>
      </w:r>
      <w:r>
        <w:rPr>
          <w:lang w:val="en-US"/>
        </w:rPr>
        <w:fldChar w:fldCharType="begin"/>
      </w:r>
      <w:r>
        <w:rPr>
          <w:lang w:val="en-US"/>
        </w:rPr>
        <w:instrText xml:space="preserve"> NOTEREF _Ref321744792 \h </w:instrText>
      </w:r>
      <w:r>
        <w:rPr>
          <w:lang w:val="en-US"/>
        </w:rPr>
      </w:r>
      <w:r>
        <w:rPr>
          <w:lang w:val="en-US"/>
        </w:rPr>
        <w:fldChar w:fldCharType="separate"/>
      </w:r>
      <w:r>
        <w:rPr>
          <w:lang w:val="en-US"/>
        </w:rPr>
        <w:t>2</w:t>
      </w:r>
      <w:r>
        <w:rPr>
          <w:lang w:val="en-US"/>
        </w:rPr>
        <w:fldChar w:fldCharType="end"/>
      </w:r>
      <w:r>
        <w:rPr>
          <w:lang w:val="en-US"/>
        </w:rPr>
        <w:t>, 29-31</w:t>
      </w:r>
      <w:proofErr w:type="gramStart"/>
      <w:r>
        <w:rPr>
          <w:lang w:val="en-US"/>
        </w:rPr>
        <w:t>;</w:t>
      </w:r>
      <w:proofErr w:type="gramEnd"/>
      <w:r>
        <w:rPr>
          <w:lang w:val="en-US"/>
        </w:rPr>
        <w:t xml:space="preserve"> IPART see above n </w:t>
      </w:r>
      <w:r>
        <w:rPr>
          <w:lang w:val="en-US"/>
        </w:rPr>
        <w:fldChar w:fldCharType="begin"/>
      </w:r>
      <w:r>
        <w:rPr>
          <w:lang w:val="en-US"/>
        </w:rPr>
        <w:instrText xml:space="preserve"> NOTEREF _Ref321744742 \h </w:instrText>
      </w:r>
      <w:r>
        <w:rPr>
          <w:lang w:val="en-US"/>
        </w:rPr>
      </w:r>
      <w:r>
        <w:rPr>
          <w:lang w:val="en-US"/>
        </w:rPr>
        <w:fldChar w:fldCharType="separate"/>
      </w:r>
      <w:r>
        <w:rPr>
          <w:lang w:val="en-US"/>
        </w:rPr>
        <w:t>1</w:t>
      </w:r>
      <w:r>
        <w:rPr>
          <w:lang w:val="en-US"/>
        </w:rPr>
        <w:fldChar w:fldCharType="end"/>
      </w:r>
      <w:r>
        <w:rPr>
          <w:lang w:val="en-US"/>
        </w:rPr>
        <w:t>, 44-46.</w:t>
      </w:r>
    </w:p>
  </w:footnote>
  <w:footnote w:id="14">
    <w:p w14:paraId="27AC432E" w14:textId="61A2B29E" w:rsidR="006E0A32" w:rsidRPr="008A438A" w:rsidRDefault="006E0A32">
      <w:pPr>
        <w:pStyle w:val="FootnoteText"/>
        <w:rPr>
          <w:lang w:val="en-US"/>
        </w:rPr>
      </w:pPr>
      <w:r>
        <w:rPr>
          <w:rStyle w:val="FootnoteReference"/>
        </w:rPr>
        <w:footnoteRef/>
      </w:r>
      <w:r>
        <w:t xml:space="preserve"> </w:t>
      </w:r>
      <w:r>
        <w:rPr>
          <w:lang w:val="en-US"/>
        </w:rPr>
        <w:tab/>
        <w:t xml:space="preserve">IPART see above n </w:t>
      </w:r>
      <w:r>
        <w:rPr>
          <w:lang w:val="en-US"/>
        </w:rPr>
        <w:fldChar w:fldCharType="begin"/>
      </w:r>
      <w:r>
        <w:rPr>
          <w:lang w:val="en-US"/>
        </w:rPr>
        <w:instrText xml:space="preserve"> NOTEREF _Ref321744742 \h </w:instrText>
      </w:r>
      <w:r>
        <w:rPr>
          <w:lang w:val="en-US"/>
        </w:rPr>
      </w:r>
      <w:r>
        <w:rPr>
          <w:lang w:val="en-US"/>
        </w:rPr>
        <w:fldChar w:fldCharType="separate"/>
      </w:r>
      <w:r>
        <w:rPr>
          <w:lang w:val="en-US"/>
        </w:rPr>
        <w:t>1</w:t>
      </w:r>
      <w:r>
        <w:rPr>
          <w:lang w:val="en-US"/>
        </w:rPr>
        <w:fldChar w:fldCharType="end"/>
      </w:r>
      <w:r>
        <w:rPr>
          <w:lang w:val="en-US"/>
        </w:rPr>
        <w:t>, 158-159.</w:t>
      </w:r>
    </w:p>
  </w:footnote>
  <w:footnote w:id="15">
    <w:p w14:paraId="4D80B2FA" w14:textId="22903969" w:rsidR="006E0A32" w:rsidRPr="008A438A" w:rsidRDefault="006E0A32">
      <w:pPr>
        <w:pStyle w:val="FootnoteText"/>
        <w:rPr>
          <w:lang w:val="en-US"/>
        </w:rPr>
      </w:pPr>
      <w:r>
        <w:rPr>
          <w:rStyle w:val="FootnoteReference"/>
        </w:rPr>
        <w:footnoteRef/>
      </w:r>
      <w:r>
        <w:t xml:space="preserve"> </w:t>
      </w:r>
      <w:r>
        <w:rPr>
          <w:lang w:val="en-US"/>
        </w:rPr>
        <w:tab/>
        <w:t xml:space="preserve">IPART see above n </w:t>
      </w:r>
      <w:r>
        <w:rPr>
          <w:lang w:val="en-US"/>
        </w:rPr>
        <w:fldChar w:fldCharType="begin"/>
      </w:r>
      <w:r>
        <w:rPr>
          <w:lang w:val="en-US"/>
        </w:rPr>
        <w:instrText xml:space="preserve"> NOTEREF _Ref321744792 \h </w:instrText>
      </w:r>
      <w:r>
        <w:rPr>
          <w:lang w:val="en-US"/>
        </w:rPr>
      </w:r>
      <w:r>
        <w:rPr>
          <w:lang w:val="en-US"/>
        </w:rPr>
        <w:fldChar w:fldCharType="separate"/>
      </w:r>
      <w:r>
        <w:rPr>
          <w:lang w:val="en-US"/>
        </w:rPr>
        <w:t>2</w:t>
      </w:r>
      <w:r>
        <w:rPr>
          <w:lang w:val="en-US"/>
        </w:rPr>
        <w:fldChar w:fldCharType="end"/>
      </w:r>
      <w:r>
        <w:rPr>
          <w:lang w:val="en-US"/>
        </w:rPr>
        <w:t xml:space="preserve"> 123-124.</w:t>
      </w:r>
    </w:p>
  </w:footnote>
  <w:footnote w:id="16">
    <w:p w14:paraId="20ECD70B" w14:textId="2399C2DD" w:rsidR="006E0A32" w:rsidRPr="004C0E90" w:rsidRDefault="006E0A32">
      <w:pPr>
        <w:pStyle w:val="FootnoteText"/>
        <w:rPr>
          <w:lang w:val="en-US"/>
        </w:rPr>
      </w:pPr>
      <w:r>
        <w:rPr>
          <w:rStyle w:val="FootnoteReference"/>
        </w:rPr>
        <w:footnoteRef/>
      </w:r>
      <w:r>
        <w:t xml:space="preserve"> </w:t>
      </w:r>
      <w:r>
        <w:rPr>
          <w:lang w:val="en-US"/>
        </w:rPr>
        <w:tab/>
        <w:t xml:space="preserve">IPART see above n </w:t>
      </w:r>
      <w:r>
        <w:rPr>
          <w:lang w:val="en-US"/>
        </w:rPr>
        <w:fldChar w:fldCharType="begin"/>
      </w:r>
      <w:r>
        <w:rPr>
          <w:lang w:val="en-US"/>
        </w:rPr>
        <w:instrText xml:space="preserve"> NOTEREF _Ref321744742 \h </w:instrText>
      </w:r>
      <w:r>
        <w:rPr>
          <w:lang w:val="en-US"/>
        </w:rPr>
      </w:r>
      <w:r>
        <w:rPr>
          <w:lang w:val="en-US"/>
        </w:rPr>
        <w:fldChar w:fldCharType="separate"/>
      </w:r>
      <w:r>
        <w:rPr>
          <w:lang w:val="en-US"/>
        </w:rPr>
        <w:t>1</w:t>
      </w:r>
      <w:r>
        <w:rPr>
          <w:lang w:val="en-US"/>
        </w:rPr>
        <w:fldChar w:fldCharType="end"/>
      </w:r>
      <w:r>
        <w:rPr>
          <w:lang w:val="en-US"/>
        </w:rPr>
        <w:t xml:space="preserve"> 158-159.</w:t>
      </w:r>
    </w:p>
  </w:footnote>
  <w:footnote w:id="17">
    <w:p w14:paraId="2AADDFA4" w14:textId="012A880B" w:rsidR="006E0A32" w:rsidRPr="004C0E90" w:rsidRDefault="006E0A32">
      <w:pPr>
        <w:pStyle w:val="FootnoteText"/>
        <w:rPr>
          <w:lang w:val="en-US"/>
        </w:rPr>
      </w:pPr>
      <w:r>
        <w:rPr>
          <w:rStyle w:val="FootnoteReference"/>
        </w:rPr>
        <w:footnoteRef/>
      </w:r>
      <w:r>
        <w:t xml:space="preserve"> </w:t>
      </w:r>
      <w:r>
        <w:rPr>
          <w:lang w:val="en-US"/>
        </w:rPr>
        <w:tab/>
      </w:r>
      <w:proofErr w:type="gramStart"/>
      <w:r>
        <w:rPr>
          <w:lang w:val="en-US"/>
        </w:rPr>
        <w:t>Ibid 155.</w:t>
      </w:r>
      <w:proofErr w:type="gramEnd"/>
    </w:p>
  </w:footnote>
  <w:footnote w:id="18">
    <w:p w14:paraId="7CEF8FE6" w14:textId="57B1C4C5" w:rsidR="006E0A32" w:rsidRPr="004C0E90" w:rsidRDefault="006E0A32">
      <w:pPr>
        <w:pStyle w:val="FootnoteText"/>
        <w:rPr>
          <w:lang w:val="en-US"/>
        </w:rPr>
      </w:pPr>
      <w:r>
        <w:rPr>
          <w:rStyle w:val="FootnoteReference"/>
        </w:rPr>
        <w:footnoteRef/>
      </w:r>
      <w:r>
        <w:t xml:space="preserve"> </w:t>
      </w:r>
      <w:r>
        <w:rPr>
          <w:lang w:val="en-US"/>
        </w:rPr>
        <w:tab/>
      </w:r>
      <w:proofErr w:type="gramStart"/>
      <w:r>
        <w:rPr>
          <w:lang w:val="en-US"/>
        </w:rPr>
        <w:t>Personal communication 2016.</w:t>
      </w:r>
      <w:proofErr w:type="gramEnd"/>
    </w:p>
  </w:footnote>
  <w:footnote w:id="19">
    <w:p w14:paraId="3084CB9F" w14:textId="1E417504" w:rsidR="006E0A32" w:rsidRPr="00281E3C" w:rsidRDefault="006E0A32">
      <w:pPr>
        <w:pStyle w:val="FootnoteText"/>
        <w:rPr>
          <w:lang w:val="en-US"/>
        </w:rPr>
      </w:pPr>
      <w:r>
        <w:rPr>
          <w:rStyle w:val="FootnoteReference"/>
        </w:rPr>
        <w:footnoteRef/>
      </w:r>
      <w:r>
        <w:t xml:space="preserve"> </w:t>
      </w:r>
      <w:r>
        <w:rPr>
          <w:lang w:val="en-US"/>
        </w:rPr>
        <w:tab/>
      </w:r>
      <w:proofErr w:type="gramStart"/>
      <w:r>
        <w:rPr>
          <w:lang w:val="en-US"/>
        </w:rPr>
        <w:t xml:space="preserve">Australian Council Of Social Services, </w:t>
      </w:r>
      <w:r w:rsidRPr="0031410F">
        <w:rPr>
          <w:i/>
          <w:lang w:val="en-US"/>
        </w:rPr>
        <w:t>Poverty in Australia 2014</w:t>
      </w:r>
      <w:r>
        <w:rPr>
          <w:lang w:val="en-US"/>
        </w:rPr>
        <w:t>.</w:t>
      </w:r>
      <w:proofErr w:type="gramEnd"/>
      <w:r>
        <w:rPr>
          <w:lang w:val="en-US"/>
        </w:rPr>
        <w:t xml:space="preserve">  </w:t>
      </w:r>
      <w:proofErr w:type="gramStart"/>
      <w:r>
        <w:rPr>
          <w:lang w:val="en-US"/>
        </w:rPr>
        <w:t>2014, 8.</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D372B" w14:textId="77777777" w:rsidR="006E0A32" w:rsidRDefault="006E0A32">
    <w:pPr>
      <w:pStyle w:val="Header"/>
    </w:pPr>
    <w:r>
      <w:rPr>
        <w:noProof/>
        <w:lang w:val="en-US"/>
      </w:rPr>
      <mc:AlternateContent>
        <mc:Choice Requires="wps">
          <w:drawing>
            <wp:anchor distT="0" distB="0" distL="114300" distR="114300" simplePos="0" relativeHeight="251656704" behindDoc="0" locked="0" layoutInCell="1" allowOverlap="0" wp14:anchorId="0608F631" wp14:editId="20D95DBD">
              <wp:simplePos x="0" y="0"/>
              <wp:positionH relativeFrom="column">
                <wp:posOffset>3984625</wp:posOffset>
              </wp:positionH>
              <wp:positionV relativeFrom="page">
                <wp:posOffset>524510</wp:posOffset>
              </wp:positionV>
              <wp:extent cx="2057400" cy="96119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611995"/>
                      </a:xfrm>
                      <a:prstGeom prst="rect">
                        <a:avLst/>
                      </a:prstGeom>
                      <a:solidFill>
                        <a:srgbClr val="C0C0C0"/>
                      </a:solidFill>
                      <a:ln w="9525">
                        <a:solidFill>
                          <a:srgbClr val="000000">
                            <a:alpha val="30000"/>
                          </a:srgbClr>
                        </a:solidFill>
                        <a:miter lim="800000"/>
                        <a:headEnd/>
                        <a:tailEnd/>
                      </a:ln>
                    </wps:spPr>
                    <wps:txbx>
                      <w:txbxContent>
                        <w:p w14:paraId="22009B38" w14:textId="77777777" w:rsidR="006E0A32" w:rsidRDefault="006E0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9" type="#_x0000_t202" style="position:absolute;margin-left:313.75pt;margin-top:41.3pt;width:162pt;height:75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" o:allowoverlap="f" fillcolor="silver">
              <v:stroke opacity="19789f"/>
              <v:textbox>
                <w:txbxContent>
                  <w:p w14:paraId="22009B38" w14:textId="77777777" w:rsidR="002A15F8" w:rsidRDefault="002A15F8"/>
                </w:txbxContent>
              </v:textbox>
              <w10:wrap anchory="page"/>
            </v:shape>
          </w:pict>
        </mc:Fallback>
      </mc:AlternateContent>
    </w:r>
    <w:r>
      <w:rPr>
        <w:noProof/>
        <w:lang w:val="en-US"/>
      </w:rPr>
      <w:drawing>
        <wp:anchor distT="0" distB="0" distL="114300" distR="114300" simplePos="0" relativeHeight="251658752" behindDoc="0" locked="0" layoutInCell="1" allowOverlap="0" wp14:anchorId="4DEDEE61" wp14:editId="3BDEED75">
          <wp:simplePos x="0" y="0"/>
          <wp:positionH relativeFrom="column">
            <wp:posOffset>-209550</wp:posOffset>
          </wp:positionH>
          <wp:positionV relativeFrom="page">
            <wp:posOffset>540385</wp:posOffset>
          </wp:positionV>
          <wp:extent cx="2218055" cy="2684145"/>
          <wp:effectExtent l="0" t="0" r="0" b="8255"/>
          <wp:wrapNone/>
          <wp:docPr id="3" name="Picture 3" descr="PIAC_RGB_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AC_RGB_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055" cy="2684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7AF6C" w14:textId="77777777" w:rsidR="006E0A32" w:rsidRDefault="006E0A3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8232E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0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2B0F7B"/>
    <w:multiLevelType w:val="multilevel"/>
    <w:tmpl w:val="0734B46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0A22595E"/>
    <w:multiLevelType w:val="multilevel"/>
    <w:tmpl w:val="B740851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17641FA4"/>
    <w:multiLevelType w:val="multilevel"/>
    <w:tmpl w:val="56381966"/>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decimal"/>
      <w:pStyle w:val="Numberedheading3-legal"/>
      <w:lvlText w:val="%1.%2.%3"/>
      <w:lvlJc w:val="left"/>
      <w:pPr>
        <w:tabs>
          <w:tab w:val="num" w:pos="851"/>
        </w:tabs>
        <w:ind w:left="851" w:hanging="851"/>
      </w:pPr>
      <w:rPr>
        <w:rFonts w:hint="default"/>
      </w:rPr>
    </w:lvl>
    <w:lvl w:ilvl="3">
      <w:start w:val="1"/>
      <w:numFmt w:val="decimal"/>
      <w:pStyle w:val="Numberedheading4-leg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214640A1"/>
    <w:multiLevelType w:val="multilevel"/>
    <w:tmpl w:val="C812EF1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34E441D7"/>
    <w:multiLevelType w:val="multilevel"/>
    <w:tmpl w:val="9CEC712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37295D35"/>
    <w:multiLevelType w:val="multilevel"/>
    <w:tmpl w:val="F47865A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3C165F4F"/>
    <w:multiLevelType w:val="multilevel"/>
    <w:tmpl w:val="9CEC712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42F15E10"/>
    <w:multiLevelType w:val="hybridMultilevel"/>
    <w:tmpl w:val="35EE7324"/>
    <w:lvl w:ilvl="0" w:tplc="BD0649B4">
      <w:start w:val="1"/>
      <w:numFmt w:val="bullet"/>
      <w:pStyle w:val="BullettedLis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10">
    <w:nsid w:val="57D5582C"/>
    <w:multiLevelType w:val="hybridMultilevel"/>
    <w:tmpl w:val="BA803A20"/>
    <w:lvl w:ilvl="0" w:tplc="B91EA956">
      <w:start w:val="1"/>
      <w:numFmt w:val="decimal"/>
      <w:lvlText w:val="%1."/>
      <w:lvlJc w:val="left"/>
      <w:pPr>
        <w:tabs>
          <w:tab w:val="num" w:pos="425"/>
        </w:tabs>
        <w:ind w:left="425" w:hanging="425"/>
      </w:pPr>
      <w:rPr>
        <w:rFonts w:ascii="Myriad Pro Light" w:hAnsi="Myriad Pro Light"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0775E9"/>
    <w:multiLevelType w:val="hybridMultilevel"/>
    <w:tmpl w:val="2BAE2618"/>
    <w:lvl w:ilvl="0" w:tplc="F3F805AA">
      <w:start w:val="1"/>
      <w:numFmt w:val="decimal"/>
      <w:pStyle w:val="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4"/>
  </w:num>
  <w:num w:numId="3">
    <w:abstractNumId w:val="0"/>
  </w:num>
  <w:num w:numId="4">
    <w:abstractNumId w:val="3"/>
  </w:num>
  <w:num w:numId="5">
    <w:abstractNumId w:val="5"/>
  </w:num>
  <w:num w:numId="6">
    <w:abstractNumId w:val="8"/>
  </w:num>
  <w:num w:numId="7">
    <w:abstractNumId w:val="6"/>
  </w:num>
  <w:num w:numId="8">
    <w:abstractNumId w:val="7"/>
  </w:num>
  <w:num w:numId="9">
    <w:abstractNumId w:val="2"/>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SortMethod w:val="0000"/>
  <w:trackRevisions/>
  <w:defaultTabStop w:val="567"/>
  <w:evenAndOddHeaders/>
  <w:displayHorizontalDrawingGridEvery w:val="0"/>
  <w:displayVerticalDrawingGridEvery w:val="0"/>
  <w:doNotUseMarginsForDrawingGridOrigin/>
  <w:noPunctuationKerning/>
  <w:characterSpacingControl w:val="doNotCompress"/>
  <w:savePreviewPicture/>
  <w:hdrShapeDefaults>
    <o:shapedefaults v:ext="edit" spidmax="2050">
      <o:colormru v:ext="edit" colors="#ab2c0d,#ab2125,#89002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EFA"/>
    <w:rsid w:val="00000349"/>
    <w:rsid w:val="00000536"/>
    <w:rsid w:val="00000D83"/>
    <w:rsid w:val="000150B2"/>
    <w:rsid w:val="00020E25"/>
    <w:rsid w:val="0002495A"/>
    <w:rsid w:val="00034FE2"/>
    <w:rsid w:val="00042EF3"/>
    <w:rsid w:val="00043BFD"/>
    <w:rsid w:val="0004765C"/>
    <w:rsid w:val="00057915"/>
    <w:rsid w:val="00064ED1"/>
    <w:rsid w:val="00072D5B"/>
    <w:rsid w:val="00085F0F"/>
    <w:rsid w:val="000A0C31"/>
    <w:rsid w:val="000A31BD"/>
    <w:rsid w:val="000A6593"/>
    <w:rsid w:val="000B5E60"/>
    <w:rsid w:val="000B77C9"/>
    <w:rsid w:val="000D4EB6"/>
    <w:rsid w:val="000F4132"/>
    <w:rsid w:val="0010663E"/>
    <w:rsid w:val="00140B17"/>
    <w:rsid w:val="00153002"/>
    <w:rsid w:val="0016753B"/>
    <w:rsid w:val="001A067F"/>
    <w:rsid w:val="001A418F"/>
    <w:rsid w:val="001C7460"/>
    <w:rsid w:val="0020134D"/>
    <w:rsid w:val="00205E40"/>
    <w:rsid w:val="00217308"/>
    <w:rsid w:val="00240A44"/>
    <w:rsid w:val="00247390"/>
    <w:rsid w:val="0025264A"/>
    <w:rsid w:val="002578D3"/>
    <w:rsid w:val="00275BE4"/>
    <w:rsid w:val="00281E3C"/>
    <w:rsid w:val="00297328"/>
    <w:rsid w:val="002A15F8"/>
    <w:rsid w:val="002A7376"/>
    <w:rsid w:val="002B417E"/>
    <w:rsid w:val="002C7D40"/>
    <w:rsid w:val="002D7424"/>
    <w:rsid w:val="002D78B6"/>
    <w:rsid w:val="002E1BD3"/>
    <w:rsid w:val="002E5D76"/>
    <w:rsid w:val="002F2FA7"/>
    <w:rsid w:val="002F7CAB"/>
    <w:rsid w:val="0031410F"/>
    <w:rsid w:val="00323CF6"/>
    <w:rsid w:val="003252DE"/>
    <w:rsid w:val="00381E9F"/>
    <w:rsid w:val="0038202C"/>
    <w:rsid w:val="00383448"/>
    <w:rsid w:val="00386116"/>
    <w:rsid w:val="00397C89"/>
    <w:rsid w:val="003A7206"/>
    <w:rsid w:val="003B140B"/>
    <w:rsid w:val="003C54A8"/>
    <w:rsid w:val="003D7878"/>
    <w:rsid w:val="003E68C9"/>
    <w:rsid w:val="00414B00"/>
    <w:rsid w:val="0043000C"/>
    <w:rsid w:val="00437681"/>
    <w:rsid w:val="00445FB1"/>
    <w:rsid w:val="00447CB5"/>
    <w:rsid w:val="00456A27"/>
    <w:rsid w:val="00457F97"/>
    <w:rsid w:val="004856A2"/>
    <w:rsid w:val="004A51ED"/>
    <w:rsid w:val="004A7741"/>
    <w:rsid w:val="004B32F9"/>
    <w:rsid w:val="004B4501"/>
    <w:rsid w:val="004B4EB8"/>
    <w:rsid w:val="004C0E90"/>
    <w:rsid w:val="004C3BB3"/>
    <w:rsid w:val="004D0B80"/>
    <w:rsid w:val="004E50D0"/>
    <w:rsid w:val="005105D4"/>
    <w:rsid w:val="00517B2D"/>
    <w:rsid w:val="00520EF3"/>
    <w:rsid w:val="0052102D"/>
    <w:rsid w:val="00521EFA"/>
    <w:rsid w:val="00540578"/>
    <w:rsid w:val="00553B4F"/>
    <w:rsid w:val="0056732C"/>
    <w:rsid w:val="00572301"/>
    <w:rsid w:val="0057376B"/>
    <w:rsid w:val="00587C4B"/>
    <w:rsid w:val="0059153F"/>
    <w:rsid w:val="00595AC5"/>
    <w:rsid w:val="00595E6D"/>
    <w:rsid w:val="005A49C4"/>
    <w:rsid w:val="005B27A6"/>
    <w:rsid w:val="005B52E0"/>
    <w:rsid w:val="005C7F86"/>
    <w:rsid w:val="005D5FB6"/>
    <w:rsid w:val="005E0C92"/>
    <w:rsid w:val="005E3297"/>
    <w:rsid w:val="005F004D"/>
    <w:rsid w:val="005F71C5"/>
    <w:rsid w:val="005F759D"/>
    <w:rsid w:val="006064C6"/>
    <w:rsid w:val="006308CD"/>
    <w:rsid w:val="00635B53"/>
    <w:rsid w:val="00643722"/>
    <w:rsid w:val="00647A99"/>
    <w:rsid w:val="00656C3C"/>
    <w:rsid w:val="006573D4"/>
    <w:rsid w:val="00663E2B"/>
    <w:rsid w:val="00672FE3"/>
    <w:rsid w:val="006A28BE"/>
    <w:rsid w:val="006A39F5"/>
    <w:rsid w:val="006B002E"/>
    <w:rsid w:val="006B190A"/>
    <w:rsid w:val="006B47FC"/>
    <w:rsid w:val="006C32CA"/>
    <w:rsid w:val="006E0A32"/>
    <w:rsid w:val="006E2789"/>
    <w:rsid w:val="00705953"/>
    <w:rsid w:val="00705E1E"/>
    <w:rsid w:val="00710F1C"/>
    <w:rsid w:val="007219C2"/>
    <w:rsid w:val="0074450A"/>
    <w:rsid w:val="00744800"/>
    <w:rsid w:val="00781898"/>
    <w:rsid w:val="00794F7A"/>
    <w:rsid w:val="007A0B6C"/>
    <w:rsid w:val="007B0631"/>
    <w:rsid w:val="007B1128"/>
    <w:rsid w:val="007B1FA3"/>
    <w:rsid w:val="007B7171"/>
    <w:rsid w:val="007C0FAA"/>
    <w:rsid w:val="007D3CC2"/>
    <w:rsid w:val="007E165B"/>
    <w:rsid w:val="007E71C8"/>
    <w:rsid w:val="007F3984"/>
    <w:rsid w:val="008149D0"/>
    <w:rsid w:val="00835B99"/>
    <w:rsid w:val="00850308"/>
    <w:rsid w:val="008579FF"/>
    <w:rsid w:val="0086217D"/>
    <w:rsid w:val="00864D3B"/>
    <w:rsid w:val="00872714"/>
    <w:rsid w:val="00874ADC"/>
    <w:rsid w:val="00883C89"/>
    <w:rsid w:val="00890D59"/>
    <w:rsid w:val="008A438A"/>
    <w:rsid w:val="008B70E7"/>
    <w:rsid w:val="008D4214"/>
    <w:rsid w:val="008E671A"/>
    <w:rsid w:val="009019BC"/>
    <w:rsid w:val="00901C77"/>
    <w:rsid w:val="00905951"/>
    <w:rsid w:val="009100BC"/>
    <w:rsid w:val="00910899"/>
    <w:rsid w:val="00937654"/>
    <w:rsid w:val="009520A9"/>
    <w:rsid w:val="00955565"/>
    <w:rsid w:val="00967C3D"/>
    <w:rsid w:val="009748E0"/>
    <w:rsid w:val="00983305"/>
    <w:rsid w:val="009A52F9"/>
    <w:rsid w:val="009C0C93"/>
    <w:rsid w:val="009C533B"/>
    <w:rsid w:val="009E26F5"/>
    <w:rsid w:val="009E3518"/>
    <w:rsid w:val="009E3644"/>
    <w:rsid w:val="009E67D7"/>
    <w:rsid w:val="009F362E"/>
    <w:rsid w:val="00A03932"/>
    <w:rsid w:val="00A043A5"/>
    <w:rsid w:val="00A42CCC"/>
    <w:rsid w:val="00A45F5D"/>
    <w:rsid w:val="00A64398"/>
    <w:rsid w:val="00A83D79"/>
    <w:rsid w:val="00A871F4"/>
    <w:rsid w:val="00AA39A9"/>
    <w:rsid w:val="00AA7289"/>
    <w:rsid w:val="00AB48E1"/>
    <w:rsid w:val="00AC2095"/>
    <w:rsid w:val="00AD1668"/>
    <w:rsid w:val="00AE5810"/>
    <w:rsid w:val="00AF669F"/>
    <w:rsid w:val="00B20005"/>
    <w:rsid w:val="00B3650D"/>
    <w:rsid w:val="00B54A24"/>
    <w:rsid w:val="00B752AE"/>
    <w:rsid w:val="00B76DC7"/>
    <w:rsid w:val="00B77BD2"/>
    <w:rsid w:val="00B8764E"/>
    <w:rsid w:val="00B97E0D"/>
    <w:rsid w:val="00BA2537"/>
    <w:rsid w:val="00BC6832"/>
    <w:rsid w:val="00BF374F"/>
    <w:rsid w:val="00C0557E"/>
    <w:rsid w:val="00C32F47"/>
    <w:rsid w:val="00C330B2"/>
    <w:rsid w:val="00C36A58"/>
    <w:rsid w:val="00C41BD5"/>
    <w:rsid w:val="00C51664"/>
    <w:rsid w:val="00C67FD5"/>
    <w:rsid w:val="00C80A2A"/>
    <w:rsid w:val="00C955CB"/>
    <w:rsid w:val="00CC41D4"/>
    <w:rsid w:val="00CE7437"/>
    <w:rsid w:val="00CF2FD1"/>
    <w:rsid w:val="00CF7F8F"/>
    <w:rsid w:val="00D17A69"/>
    <w:rsid w:val="00D21DF0"/>
    <w:rsid w:val="00D24FD2"/>
    <w:rsid w:val="00D26D0B"/>
    <w:rsid w:val="00D34F5F"/>
    <w:rsid w:val="00D356A3"/>
    <w:rsid w:val="00D43742"/>
    <w:rsid w:val="00D476C2"/>
    <w:rsid w:val="00D47D1F"/>
    <w:rsid w:val="00D50C0F"/>
    <w:rsid w:val="00D51591"/>
    <w:rsid w:val="00D577A3"/>
    <w:rsid w:val="00D61DE6"/>
    <w:rsid w:val="00D740D4"/>
    <w:rsid w:val="00D80E91"/>
    <w:rsid w:val="00DA165D"/>
    <w:rsid w:val="00DB6774"/>
    <w:rsid w:val="00DD1EEE"/>
    <w:rsid w:val="00DD52D4"/>
    <w:rsid w:val="00DE0276"/>
    <w:rsid w:val="00DE4CB8"/>
    <w:rsid w:val="00DE5A12"/>
    <w:rsid w:val="00DF14C7"/>
    <w:rsid w:val="00DF1DC6"/>
    <w:rsid w:val="00E075F5"/>
    <w:rsid w:val="00E11463"/>
    <w:rsid w:val="00E1735A"/>
    <w:rsid w:val="00E227B6"/>
    <w:rsid w:val="00E23789"/>
    <w:rsid w:val="00E26389"/>
    <w:rsid w:val="00E31DD5"/>
    <w:rsid w:val="00E37DC2"/>
    <w:rsid w:val="00E4628C"/>
    <w:rsid w:val="00E510F3"/>
    <w:rsid w:val="00E82F23"/>
    <w:rsid w:val="00E963BE"/>
    <w:rsid w:val="00EA425D"/>
    <w:rsid w:val="00EB74AF"/>
    <w:rsid w:val="00EC0DD5"/>
    <w:rsid w:val="00ED1F65"/>
    <w:rsid w:val="00EE71C4"/>
    <w:rsid w:val="00EE790F"/>
    <w:rsid w:val="00EF2B67"/>
    <w:rsid w:val="00F00364"/>
    <w:rsid w:val="00F05859"/>
    <w:rsid w:val="00F10DD5"/>
    <w:rsid w:val="00F14BD2"/>
    <w:rsid w:val="00F542DA"/>
    <w:rsid w:val="00F553EC"/>
    <w:rsid w:val="00F66B7C"/>
    <w:rsid w:val="00F7748A"/>
    <w:rsid w:val="00F87DDA"/>
    <w:rsid w:val="00F9526D"/>
    <w:rsid w:val="00F978B2"/>
    <w:rsid w:val="00FA7781"/>
    <w:rsid w:val="00FB5717"/>
    <w:rsid w:val="00FC4F80"/>
    <w:rsid w:val="00FC66AA"/>
    <w:rsid w:val="00FC66E7"/>
    <w:rsid w:val="00FE0576"/>
    <w:rsid w:val="00FE2F29"/>
    <w:rsid w:val="00FE6596"/>
    <w:rsid w:val="00FF04AD"/>
    <w:rsid w:val="00FF1A70"/>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ab2c0d,#ab2125,#890029"/>
    </o:shapedefaults>
    <o:shapelayout v:ext="edit">
      <o:idmap v:ext="edit" data="1"/>
    </o:shapelayout>
  </w:shapeDefaults>
  <w:decimalSymbol w:val="."/>
  <w:listSeparator w:val=","/>
  <w14:docId w14:val="26F94E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6E"/>
    <w:pPr>
      <w:spacing w:line="280" w:lineRule="exact"/>
    </w:pPr>
    <w:rPr>
      <w:rFonts w:ascii="Arial" w:hAnsi="Arial"/>
      <w:sz w:val="22"/>
      <w:szCs w:val="24"/>
      <w:lang w:val="en-GB"/>
    </w:rPr>
  </w:style>
  <w:style w:type="paragraph" w:styleId="Heading1">
    <w:name w:val="heading 1"/>
    <w:basedOn w:val="Normal"/>
    <w:next w:val="Normal"/>
    <w:qFormat/>
    <w:rsid w:val="00705E1E"/>
    <w:pPr>
      <w:keepNext/>
      <w:spacing w:before="360" w:after="120" w:line="240" w:lineRule="atLeast"/>
      <w:outlineLvl w:val="0"/>
    </w:pPr>
    <w:rPr>
      <w:b/>
      <w:kern w:val="32"/>
      <w:sz w:val="32"/>
      <w:szCs w:val="32"/>
    </w:rPr>
  </w:style>
  <w:style w:type="paragraph" w:styleId="Heading2">
    <w:name w:val="heading 2"/>
    <w:basedOn w:val="Normal"/>
    <w:next w:val="Normal"/>
    <w:link w:val="Heading2Char"/>
    <w:qFormat/>
    <w:rsid w:val="00705E1E"/>
    <w:pPr>
      <w:keepNext/>
      <w:spacing w:before="240" w:after="60" w:line="240" w:lineRule="atLeast"/>
      <w:outlineLvl w:val="1"/>
    </w:pPr>
    <w:rPr>
      <w:b/>
      <w:sz w:val="26"/>
      <w:szCs w:val="28"/>
    </w:rPr>
  </w:style>
  <w:style w:type="paragraph" w:styleId="Heading3">
    <w:name w:val="heading 3"/>
    <w:basedOn w:val="Normal"/>
    <w:next w:val="Normal"/>
    <w:qFormat/>
    <w:rsid w:val="00B76DC7"/>
    <w:pPr>
      <w:keepNext/>
      <w:spacing w:before="240" w:after="60"/>
      <w:outlineLvl w:val="2"/>
    </w:pPr>
    <w:rPr>
      <w:b/>
      <w:color w:val="000000"/>
      <w:sz w:val="24"/>
    </w:rPr>
  </w:style>
  <w:style w:type="paragraph" w:styleId="Heading4">
    <w:name w:val="heading 4"/>
    <w:basedOn w:val="Normal"/>
    <w:next w:val="Normal"/>
    <w:qFormat/>
    <w:pPr>
      <w:keepNext/>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rsid w:val="00EC7B6E"/>
    <w:pPr>
      <w:ind w:left="567" w:right="558"/>
    </w:pPr>
    <w:rPr>
      <w:sz w:val="20"/>
    </w:rPr>
  </w:style>
  <w:style w:type="paragraph" w:customStyle="1" w:styleId="BullettedList">
    <w:name w:val="Bulletted List"/>
    <w:rsid w:val="00EC7B6E"/>
    <w:pPr>
      <w:numPr>
        <w:numId w:val="1"/>
      </w:numPr>
      <w:tabs>
        <w:tab w:val="clear" w:pos="360"/>
      </w:tabs>
      <w:spacing w:line="280" w:lineRule="exact"/>
      <w:ind w:left="425" w:hanging="425"/>
    </w:pPr>
    <w:rPr>
      <w:rFonts w:ascii="Arial" w:hAnsi="Arial"/>
      <w:sz w:val="22"/>
    </w:rPr>
  </w:style>
  <w:style w:type="paragraph" w:customStyle="1" w:styleId="NumberedHeading1">
    <w:name w:val="Numbered Heading 1"/>
    <w:basedOn w:val="Heading1"/>
    <w:next w:val="Normal"/>
    <w:rsid w:val="00705E1E"/>
    <w:pPr>
      <w:numPr>
        <w:numId w:val="2"/>
      </w:numPr>
    </w:pPr>
    <w:rPr>
      <w:kern w:val="0"/>
    </w:rPr>
  </w:style>
  <w:style w:type="paragraph" w:customStyle="1" w:styleId="NumberedHeading2">
    <w:name w:val="Numbered Heading 2"/>
    <w:basedOn w:val="Heading2"/>
    <w:next w:val="Normal"/>
    <w:rsid w:val="00EC7B6E"/>
    <w:pPr>
      <w:numPr>
        <w:ilvl w:val="1"/>
        <w:numId w:val="2"/>
      </w:numPr>
    </w:pPr>
  </w:style>
  <w:style w:type="paragraph" w:styleId="TOC1">
    <w:name w:val="toc 1"/>
    <w:basedOn w:val="Normal"/>
    <w:next w:val="Normal"/>
    <w:semiHidden/>
    <w:pPr>
      <w:tabs>
        <w:tab w:val="right" w:leader="dot" w:pos="9459"/>
      </w:tabs>
      <w:spacing w:before="240" w:after="60"/>
      <w:ind w:left="567" w:hanging="567"/>
    </w:pPr>
    <w:rPr>
      <w:b/>
      <w:noProof/>
      <w:sz w:val="28"/>
    </w:rPr>
  </w:style>
  <w:style w:type="paragraph" w:styleId="FootnoteText">
    <w:name w:val="footnote text"/>
    <w:aliases w:val="Footnote text"/>
    <w:basedOn w:val="Normal"/>
    <w:semiHidden/>
    <w:rsid w:val="004B4501"/>
    <w:pPr>
      <w:spacing w:line="240" w:lineRule="auto"/>
      <w:ind w:left="567" w:hanging="567"/>
    </w:pPr>
    <w:rPr>
      <w:sz w:val="18"/>
    </w:rPr>
  </w:style>
  <w:style w:type="character" w:styleId="FootnoteReference">
    <w:name w:val="footnote reference"/>
    <w:basedOn w:val="DefaultParagraphFont"/>
    <w:semiHidden/>
    <w:rsid w:val="005728C7"/>
    <w:rPr>
      <w:rFonts w:ascii="Arial" w:hAnsi="Arial"/>
      <w:vertAlign w:val="superscript"/>
    </w:rPr>
  </w:style>
  <w:style w:type="paragraph" w:customStyle="1" w:styleId="Recommendation">
    <w:name w:val="Recommendation"/>
    <w:basedOn w:val="Normal"/>
    <w:next w:val="Normal"/>
    <w:rsid w:val="00EC7B6E"/>
    <w:pPr>
      <w:keepNext/>
      <w:pBdr>
        <w:bottom w:val="dotted" w:sz="4" w:space="0" w:color="auto"/>
      </w:pBdr>
      <w:spacing w:before="240" w:after="60"/>
    </w:pPr>
    <w:rPr>
      <w:b/>
      <w:i/>
      <w:szCs w:val="20"/>
    </w:rPr>
  </w:style>
  <w:style w:type="paragraph" w:customStyle="1" w:styleId="Recommendationtext">
    <w:name w:val="Recommendation text"/>
    <w:basedOn w:val="Recommendation"/>
    <w:rsid w:val="004B4501"/>
    <w:pPr>
      <w:keepNext w:val="0"/>
      <w:pBdr>
        <w:bottom w:val="none" w:sz="0" w:space="0" w:color="auto"/>
      </w:pBdr>
      <w:spacing w:before="60" w:after="0"/>
    </w:pPr>
    <w:rPr>
      <w:b w:val="0"/>
    </w:rPr>
  </w:style>
  <w:style w:type="character" w:styleId="Hyperlink">
    <w:name w:val="Hyperlink"/>
    <w:basedOn w:val="DefaultParagraphFont"/>
    <w:rsid w:val="005728C7"/>
    <w:rPr>
      <w:rFonts w:ascii="Arial" w:hAnsi="Arial"/>
      <w:color w:val="0000FF"/>
      <w:u w:val="singl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rsid w:val="005728C7"/>
    <w:rPr>
      <w:rFonts w:ascii="Arial" w:hAnsi="Arial"/>
      <w:sz w:val="20"/>
    </w:rPr>
  </w:style>
  <w:style w:type="paragraph" w:customStyle="1" w:styleId="NumberedList">
    <w:name w:val="Numbered List"/>
    <w:rsid w:val="00EC7B6E"/>
    <w:pPr>
      <w:numPr>
        <w:numId w:val="11"/>
      </w:numPr>
      <w:spacing w:line="280" w:lineRule="exact"/>
    </w:pPr>
    <w:rPr>
      <w:rFonts w:ascii="Arial" w:hAnsi="Arial"/>
      <w:noProof/>
      <w:sz w:val="22"/>
    </w:rPr>
  </w:style>
  <w:style w:type="paragraph" w:customStyle="1" w:styleId="Numberedheading3-legal">
    <w:name w:val="Numbered heading 3 - legal"/>
    <w:basedOn w:val="Normal"/>
    <w:pPr>
      <w:numPr>
        <w:ilvl w:val="2"/>
        <w:numId w:val="2"/>
      </w:numPr>
    </w:pPr>
    <w:rPr>
      <w:b/>
      <w:sz w:val="24"/>
    </w:rPr>
  </w:style>
  <w:style w:type="paragraph" w:customStyle="1" w:styleId="Numberedheading4-legal">
    <w:name w:val="Numbered heading 4 - legal"/>
    <w:basedOn w:val="Numberedheading3-legal"/>
    <w:pPr>
      <w:numPr>
        <w:ilvl w:val="3"/>
      </w:numPr>
    </w:pPr>
    <w:rPr>
      <w:sz w:val="22"/>
    </w:rPr>
  </w:style>
  <w:style w:type="paragraph" w:customStyle="1" w:styleId="DateAuthor">
    <w:name w:val="Date/Author"/>
    <w:basedOn w:val="Heading2"/>
    <w:rsid w:val="00705E1E"/>
    <w:pPr>
      <w:ind w:left="142"/>
    </w:pPr>
    <w:rPr>
      <w:sz w:val="24"/>
    </w:rPr>
  </w:style>
  <w:style w:type="paragraph" w:customStyle="1" w:styleId="Titleofsubmission">
    <w:name w:val="Title of submission"/>
    <w:basedOn w:val="Heading1"/>
    <w:rsid w:val="00705E1E"/>
    <w:pPr>
      <w:ind w:left="142"/>
    </w:pPr>
  </w:style>
  <w:style w:type="paragraph" w:styleId="TOC2">
    <w:name w:val="toc 2"/>
    <w:basedOn w:val="Normal"/>
    <w:next w:val="Normal"/>
    <w:semiHidden/>
    <w:pPr>
      <w:tabs>
        <w:tab w:val="left" w:pos="1134"/>
        <w:tab w:val="right" w:leader="dot" w:pos="9459"/>
      </w:tabs>
      <w:ind w:left="1701" w:hanging="1134"/>
    </w:pPr>
  </w:style>
  <w:style w:type="paragraph" w:styleId="TOC3">
    <w:name w:val="toc 3"/>
    <w:basedOn w:val="Normal"/>
    <w:next w:val="Normal"/>
    <w:semiHidden/>
    <w:pPr>
      <w:tabs>
        <w:tab w:val="left" w:pos="1843"/>
        <w:tab w:val="right" w:pos="2268"/>
        <w:tab w:val="right" w:leader="dot" w:pos="9459"/>
      </w:tabs>
      <w:ind w:left="2977" w:hanging="1843"/>
    </w:pPr>
  </w:style>
  <w:style w:type="paragraph" w:styleId="TOC4">
    <w:name w:val="toc 4"/>
    <w:basedOn w:val="Normal"/>
    <w:next w:val="Normal"/>
    <w:semiHidden/>
    <w:pPr>
      <w:tabs>
        <w:tab w:val="left" w:pos="2694"/>
        <w:tab w:val="right" w:leader="dot" w:pos="9459"/>
      </w:tabs>
      <w:ind w:left="4536" w:hanging="2693"/>
    </w:pPr>
    <w:rPr>
      <w:noProof/>
      <w:sz w:val="20"/>
    </w:r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link w:val="BalloonTextChar"/>
    <w:uiPriority w:val="99"/>
    <w:semiHidden/>
    <w:unhideWhenUsed/>
    <w:rsid w:val="00FA778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7781"/>
    <w:rPr>
      <w:rFonts w:ascii="Lucida Grande" w:hAnsi="Lucida Grande" w:cs="Lucida Grande"/>
      <w:sz w:val="18"/>
      <w:szCs w:val="18"/>
      <w:lang w:val="en-GB"/>
    </w:rPr>
  </w:style>
  <w:style w:type="character" w:customStyle="1" w:styleId="Heading2Char">
    <w:name w:val="Heading 2 Char"/>
    <w:basedOn w:val="DefaultParagraphFont"/>
    <w:link w:val="Heading2"/>
    <w:rsid w:val="006A28BE"/>
    <w:rPr>
      <w:rFonts w:ascii="Arial" w:hAnsi="Arial"/>
      <w:b/>
      <w:sz w:val="26"/>
      <w:szCs w:val="28"/>
      <w:lang w:val="en-GB"/>
    </w:rPr>
  </w:style>
  <w:style w:type="character" w:styleId="CommentReference">
    <w:name w:val="annotation reference"/>
    <w:basedOn w:val="DefaultParagraphFont"/>
    <w:uiPriority w:val="99"/>
    <w:semiHidden/>
    <w:unhideWhenUsed/>
    <w:rsid w:val="00672FE3"/>
    <w:rPr>
      <w:sz w:val="18"/>
      <w:szCs w:val="18"/>
    </w:rPr>
  </w:style>
  <w:style w:type="paragraph" w:styleId="CommentText">
    <w:name w:val="annotation text"/>
    <w:basedOn w:val="Normal"/>
    <w:link w:val="CommentTextChar"/>
    <w:uiPriority w:val="99"/>
    <w:semiHidden/>
    <w:unhideWhenUsed/>
    <w:rsid w:val="00672FE3"/>
    <w:pPr>
      <w:spacing w:line="240" w:lineRule="auto"/>
    </w:pPr>
    <w:rPr>
      <w:sz w:val="24"/>
    </w:rPr>
  </w:style>
  <w:style w:type="character" w:customStyle="1" w:styleId="CommentTextChar">
    <w:name w:val="Comment Text Char"/>
    <w:basedOn w:val="DefaultParagraphFont"/>
    <w:link w:val="CommentText"/>
    <w:uiPriority w:val="99"/>
    <w:semiHidden/>
    <w:rsid w:val="00672FE3"/>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672FE3"/>
    <w:rPr>
      <w:b/>
      <w:bCs/>
      <w:sz w:val="20"/>
      <w:szCs w:val="20"/>
    </w:rPr>
  </w:style>
  <w:style w:type="character" w:customStyle="1" w:styleId="CommentSubjectChar">
    <w:name w:val="Comment Subject Char"/>
    <w:basedOn w:val="CommentTextChar"/>
    <w:link w:val="CommentSubject"/>
    <w:uiPriority w:val="99"/>
    <w:semiHidden/>
    <w:rsid w:val="00672FE3"/>
    <w:rPr>
      <w:rFonts w:ascii="Arial" w:hAnsi="Arial"/>
      <w:b/>
      <w:bCs/>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6E"/>
    <w:pPr>
      <w:spacing w:line="280" w:lineRule="exact"/>
    </w:pPr>
    <w:rPr>
      <w:rFonts w:ascii="Arial" w:hAnsi="Arial"/>
      <w:sz w:val="22"/>
      <w:szCs w:val="24"/>
      <w:lang w:val="en-GB"/>
    </w:rPr>
  </w:style>
  <w:style w:type="paragraph" w:styleId="Heading1">
    <w:name w:val="heading 1"/>
    <w:basedOn w:val="Normal"/>
    <w:next w:val="Normal"/>
    <w:qFormat/>
    <w:rsid w:val="00705E1E"/>
    <w:pPr>
      <w:keepNext/>
      <w:spacing w:before="360" w:after="120" w:line="240" w:lineRule="atLeast"/>
      <w:outlineLvl w:val="0"/>
    </w:pPr>
    <w:rPr>
      <w:b/>
      <w:kern w:val="32"/>
      <w:sz w:val="32"/>
      <w:szCs w:val="32"/>
    </w:rPr>
  </w:style>
  <w:style w:type="paragraph" w:styleId="Heading2">
    <w:name w:val="heading 2"/>
    <w:basedOn w:val="Normal"/>
    <w:next w:val="Normal"/>
    <w:link w:val="Heading2Char"/>
    <w:qFormat/>
    <w:rsid w:val="00705E1E"/>
    <w:pPr>
      <w:keepNext/>
      <w:spacing w:before="240" w:after="60" w:line="240" w:lineRule="atLeast"/>
      <w:outlineLvl w:val="1"/>
    </w:pPr>
    <w:rPr>
      <w:b/>
      <w:sz w:val="26"/>
      <w:szCs w:val="28"/>
    </w:rPr>
  </w:style>
  <w:style w:type="paragraph" w:styleId="Heading3">
    <w:name w:val="heading 3"/>
    <w:basedOn w:val="Normal"/>
    <w:next w:val="Normal"/>
    <w:qFormat/>
    <w:rsid w:val="00B76DC7"/>
    <w:pPr>
      <w:keepNext/>
      <w:spacing w:before="240" w:after="60"/>
      <w:outlineLvl w:val="2"/>
    </w:pPr>
    <w:rPr>
      <w:b/>
      <w:color w:val="000000"/>
      <w:sz w:val="24"/>
    </w:rPr>
  </w:style>
  <w:style w:type="paragraph" w:styleId="Heading4">
    <w:name w:val="heading 4"/>
    <w:basedOn w:val="Normal"/>
    <w:next w:val="Normal"/>
    <w:qFormat/>
    <w:pPr>
      <w:keepNext/>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rsid w:val="00EC7B6E"/>
    <w:pPr>
      <w:ind w:left="567" w:right="558"/>
    </w:pPr>
    <w:rPr>
      <w:sz w:val="20"/>
    </w:rPr>
  </w:style>
  <w:style w:type="paragraph" w:customStyle="1" w:styleId="BullettedList">
    <w:name w:val="Bulletted List"/>
    <w:rsid w:val="00EC7B6E"/>
    <w:pPr>
      <w:numPr>
        <w:numId w:val="1"/>
      </w:numPr>
      <w:tabs>
        <w:tab w:val="clear" w:pos="360"/>
      </w:tabs>
      <w:spacing w:line="280" w:lineRule="exact"/>
      <w:ind w:left="425" w:hanging="425"/>
    </w:pPr>
    <w:rPr>
      <w:rFonts w:ascii="Arial" w:hAnsi="Arial"/>
      <w:sz w:val="22"/>
    </w:rPr>
  </w:style>
  <w:style w:type="paragraph" w:customStyle="1" w:styleId="NumberedHeading1">
    <w:name w:val="Numbered Heading 1"/>
    <w:basedOn w:val="Heading1"/>
    <w:next w:val="Normal"/>
    <w:rsid w:val="00705E1E"/>
    <w:pPr>
      <w:numPr>
        <w:numId w:val="2"/>
      </w:numPr>
    </w:pPr>
    <w:rPr>
      <w:kern w:val="0"/>
    </w:rPr>
  </w:style>
  <w:style w:type="paragraph" w:customStyle="1" w:styleId="NumberedHeading2">
    <w:name w:val="Numbered Heading 2"/>
    <w:basedOn w:val="Heading2"/>
    <w:next w:val="Normal"/>
    <w:rsid w:val="00EC7B6E"/>
    <w:pPr>
      <w:numPr>
        <w:ilvl w:val="1"/>
        <w:numId w:val="2"/>
      </w:numPr>
    </w:pPr>
  </w:style>
  <w:style w:type="paragraph" w:styleId="TOC1">
    <w:name w:val="toc 1"/>
    <w:basedOn w:val="Normal"/>
    <w:next w:val="Normal"/>
    <w:semiHidden/>
    <w:pPr>
      <w:tabs>
        <w:tab w:val="right" w:leader="dot" w:pos="9459"/>
      </w:tabs>
      <w:spacing w:before="240" w:after="60"/>
      <w:ind w:left="567" w:hanging="567"/>
    </w:pPr>
    <w:rPr>
      <w:b/>
      <w:noProof/>
      <w:sz w:val="28"/>
    </w:rPr>
  </w:style>
  <w:style w:type="paragraph" w:styleId="FootnoteText">
    <w:name w:val="footnote text"/>
    <w:aliases w:val="Footnote text"/>
    <w:basedOn w:val="Normal"/>
    <w:semiHidden/>
    <w:rsid w:val="004B4501"/>
    <w:pPr>
      <w:spacing w:line="240" w:lineRule="auto"/>
      <w:ind w:left="567" w:hanging="567"/>
    </w:pPr>
    <w:rPr>
      <w:sz w:val="18"/>
    </w:rPr>
  </w:style>
  <w:style w:type="character" w:styleId="FootnoteReference">
    <w:name w:val="footnote reference"/>
    <w:basedOn w:val="DefaultParagraphFont"/>
    <w:semiHidden/>
    <w:rsid w:val="005728C7"/>
    <w:rPr>
      <w:rFonts w:ascii="Arial" w:hAnsi="Arial"/>
      <w:vertAlign w:val="superscript"/>
    </w:rPr>
  </w:style>
  <w:style w:type="paragraph" w:customStyle="1" w:styleId="Recommendation">
    <w:name w:val="Recommendation"/>
    <w:basedOn w:val="Normal"/>
    <w:next w:val="Normal"/>
    <w:rsid w:val="00EC7B6E"/>
    <w:pPr>
      <w:keepNext/>
      <w:pBdr>
        <w:bottom w:val="dotted" w:sz="4" w:space="0" w:color="auto"/>
      </w:pBdr>
      <w:spacing w:before="240" w:after="60"/>
    </w:pPr>
    <w:rPr>
      <w:b/>
      <w:i/>
      <w:szCs w:val="20"/>
    </w:rPr>
  </w:style>
  <w:style w:type="paragraph" w:customStyle="1" w:styleId="Recommendationtext">
    <w:name w:val="Recommendation text"/>
    <w:basedOn w:val="Recommendation"/>
    <w:rsid w:val="004B4501"/>
    <w:pPr>
      <w:keepNext w:val="0"/>
      <w:pBdr>
        <w:bottom w:val="none" w:sz="0" w:space="0" w:color="auto"/>
      </w:pBdr>
      <w:spacing w:before="60" w:after="0"/>
    </w:pPr>
    <w:rPr>
      <w:b w:val="0"/>
    </w:rPr>
  </w:style>
  <w:style w:type="character" w:styleId="Hyperlink">
    <w:name w:val="Hyperlink"/>
    <w:basedOn w:val="DefaultParagraphFont"/>
    <w:rsid w:val="005728C7"/>
    <w:rPr>
      <w:rFonts w:ascii="Arial" w:hAnsi="Arial"/>
      <w:color w:val="0000FF"/>
      <w:u w:val="singl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rsid w:val="005728C7"/>
    <w:rPr>
      <w:rFonts w:ascii="Arial" w:hAnsi="Arial"/>
      <w:sz w:val="20"/>
    </w:rPr>
  </w:style>
  <w:style w:type="paragraph" w:customStyle="1" w:styleId="NumberedList">
    <w:name w:val="Numbered List"/>
    <w:rsid w:val="00EC7B6E"/>
    <w:pPr>
      <w:numPr>
        <w:numId w:val="11"/>
      </w:numPr>
      <w:spacing w:line="280" w:lineRule="exact"/>
    </w:pPr>
    <w:rPr>
      <w:rFonts w:ascii="Arial" w:hAnsi="Arial"/>
      <w:noProof/>
      <w:sz w:val="22"/>
    </w:rPr>
  </w:style>
  <w:style w:type="paragraph" w:customStyle="1" w:styleId="Numberedheading3-legal">
    <w:name w:val="Numbered heading 3 - legal"/>
    <w:basedOn w:val="Normal"/>
    <w:pPr>
      <w:numPr>
        <w:ilvl w:val="2"/>
        <w:numId w:val="2"/>
      </w:numPr>
    </w:pPr>
    <w:rPr>
      <w:b/>
      <w:sz w:val="24"/>
    </w:rPr>
  </w:style>
  <w:style w:type="paragraph" w:customStyle="1" w:styleId="Numberedheading4-legal">
    <w:name w:val="Numbered heading 4 - legal"/>
    <w:basedOn w:val="Numberedheading3-legal"/>
    <w:pPr>
      <w:numPr>
        <w:ilvl w:val="3"/>
      </w:numPr>
    </w:pPr>
    <w:rPr>
      <w:sz w:val="22"/>
    </w:rPr>
  </w:style>
  <w:style w:type="paragraph" w:customStyle="1" w:styleId="DateAuthor">
    <w:name w:val="Date/Author"/>
    <w:basedOn w:val="Heading2"/>
    <w:rsid w:val="00705E1E"/>
    <w:pPr>
      <w:ind w:left="142"/>
    </w:pPr>
    <w:rPr>
      <w:sz w:val="24"/>
    </w:rPr>
  </w:style>
  <w:style w:type="paragraph" w:customStyle="1" w:styleId="Titleofsubmission">
    <w:name w:val="Title of submission"/>
    <w:basedOn w:val="Heading1"/>
    <w:rsid w:val="00705E1E"/>
    <w:pPr>
      <w:ind w:left="142"/>
    </w:pPr>
  </w:style>
  <w:style w:type="paragraph" w:styleId="TOC2">
    <w:name w:val="toc 2"/>
    <w:basedOn w:val="Normal"/>
    <w:next w:val="Normal"/>
    <w:semiHidden/>
    <w:pPr>
      <w:tabs>
        <w:tab w:val="left" w:pos="1134"/>
        <w:tab w:val="right" w:leader="dot" w:pos="9459"/>
      </w:tabs>
      <w:ind w:left="1701" w:hanging="1134"/>
    </w:pPr>
  </w:style>
  <w:style w:type="paragraph" w:styleId="TOC3">
    <w:name w:val="toc 3"/>
    <w:basedOn w:val="Normal"/>
    <w:next w:val="Normal"/>
    <w:semiHidden/>
    <w:pPr>
      <w:tabs>
        <w:tab w:val="left" w:pos="1843"/>
        <w:tab w:val="right" w:pos="2268"/>
        <w:tab w:val="right" w:leader="dot" w:pos="9459"/>
      </w:tabs>
      <w:ind w:left="2977" w:hanging="1843"/>
    </w:pPr>
  </w:style>
  <w:style w:type="paragraph" w:styleId="TOC4">
    <w:name w:val="toc 4"/>
    <w:basedOn w:val="Normal"/>
    <w:next w:val="Normal"/>
    <w:semiHidden/>
    <w:pPr>
      <w:tabs>
        <w:tab w:val="left" w:pos="2694"/>
        <w:tab w:val="right" w:leader="dot" w:pos="9459"/>
      </w:tabs>
      <w:ind w:left="4536" w:hanging="2693"/>
    </w:pPr>
    <w:rPr>
      <w:noProof/>
      <w:sz w:val="20"/>
    </w:r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link w:val="BalloonTextChar"/>
    <w:uiPriority w:val="99"/>
    <w:semiHidden/>
    <w:unhideWhenUsed/>
    <w:rsid w:val="00FA778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7781"/>
    <w:rPr>
      <w:rFonts w:ascii="Lucida Grande" w:hAnsi="Lucida Grande" w:cs="Lucida Grande"/>
      <w:sz w:val="18"/>
      <w:szCs w:val="18"/>
      <w:lang w:val="en-GB"/>
    </w:rPr>
  </w:style>
  <w:style w:type="character" w:customStyle="1" w:styleId="Heading2Char">
    <w:name w:val="Heading 2 Char"/>
    <w:basedOn w:val="DefaultParagraphFont"/>
    <w:link w:val="Heading2"/>
    <w:rsid w:val="006A28BE"/>
    <w:rPr>
      <w:rFonts w:ascii="Arial" w:hAnsi="Arial"/>
      <w:b/>
      <w:sz w:val="26"/>
      <w:szCs w:val="28"/>
      <w:lang w:val="en-GB"/>
    </w:rPr>
  </w:style>
  <w:style w:type="character" w:styleId="CommentReference">
    <w:name w:val="annotation reference"/>
    <w:basedOn w:val="DefaultParagraphFont"/>
    <w:uiPriority w:val="99"/>
    <w:semiHidden/>
    <w:unhideWhenUsed/>
    <w:rsid w:val="00672FE3"/>
    <w:rPr>
      <w:sz w:val="18"/>
      <w:szCs w:val="18"/>
    </w:rPr>
  </w:style>
  <w:style w:type="paragraph" w:styleId="CommentText">
    <w:name w:val="annotation text"/>
    <w:basedOn w:val="Normal"/>
    <w:link w:val="CommentTextChar"/>
    <w:uiPriority w:val="99"/>
    <w:semiHidden/>
    <w:unhideWhenUsed/>
    <w:rsid w:val="00672FE3"/>
    <w:pPr>
      <w:spacing w:line="240" w:lineRule="auto"/>
    </w:pPr>
    <w:rPr>
      <w:sz w:val="24"/>
    </w:rPr>
  </w:style>
  <w:style w:type="character" w:customStyle="1" w:styleId="CommentTextChar">
    <w:name w:val="Comment Text Char"/>
    <w:basedOn w:val="DefaultParagraphFont"/>
    <w:link w:val="CommentText"/>
    <w:uiPriority w:val="99"/>
    <w:semiHidden/>
    <w:rsid w:val="00672FE3"/>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672FE3"/>
    <w:rPr>
      <w:b/>
      <w:bCs/>
      <w:sz w:val="20"/>
      <w:szCs w:val="20"/>
    </w:rPr>
  </w:style>
  <w:style w:type="character" w:customStyle="1" w:styleId="CommentSubjectChar">
    <w:name w:val="Comment Subject Char"/>
    <w:basedOn w:val="CommentTextChar"/>
    <w:link w:val="CommentSubject"/>
    <w:uiPriority w:val="99"/>
    <w:semiHidden/>
    <w:rsid w:val="00672FE3"/>
    <w:rPr>
      <w:rFonts w:ascii="Arial" w:hAnsi="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6BA24-B2A7-C14B-B9F0-DB9011C1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2361</Words>
  <Characters>13460</Characters>
  <Application>Microsoft Macintosh Word</Application>
  <DocSecurity>0</DocSecurity>
  <Lines>112</Lines>
  <Paragraphs>31</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
      <vt:lpstr>The Public Interest Advocacy Centre</vt:lpstr>
      <vt:lpstr>    Energy + Water Consumers’ Advocacy Program </vt:lpstr>
      <vt:lpstr>Introduction </vt:lpstr>
      <vt:lpstr>    Sydney Water price determination</vt:lpstr>
      <vt:lpstr>    Hunter Water price determination </vt:lpstr>
      <vt:lpstr>    Components common to Sydney Water and Hunter Water </vt:lpstr>
      <vt:lpstr>        Regulation</vt:lpstr>
      <vt:lpstr>    Additional fees</vt:lpstr>
      <vt:lpstr>        Dishonoured payment fees</vt:lpstr>
      <vt:lpstr>        Late payment fee </vt:lpstr>
      <vt:lpstr>        Credit card fee</vt:lpstr>
      <vt:lpstr>    Conclusion  </vt:lpstr>
    </vt:vector>
  </TitlesOfParts>
  <Company>Public Interest Advocacy Centre</Company>
  <LinksUpToDate>false</LinksUpToDate>
  <CharactersWithSpaces>15790</CharactersWithSpaces>
  <SharedDoc>false</SharedDoc>
  <HLinks>
    <vt:vector size="6" baseType="variant">
      <vt:variant>
        <vt:i4>7536658</vt:i4>
      </vt:variant>
      <vt:variant>
        <vt:i4>-1</vt:i4>
      </vt:variant>
      <vt:variant>
        <vt:i4>2051</vt:i4>
      </vt:variant>
      <vt:variant>
        <vt:i4>1</vt:i4>
      </vt:variant>
      <vt:variant>
        <vt:lpwstr>PIAC_RGB_ID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Kristal Burry</dc:creator>
  <cp:keywords/>
  <cp:lastModifiedBy>Kristal Burry</cp:lastModifiedBy>
  <cp:revision>3</cp:revision>
  <cp:lastPrinted>2016-04-06T04:25:00Z</cp:lastPrinted>
  <dcterms:created xsi:type="dcterms:W3CDTF">2016-04-12T23:44:00Z</dcterms:created>
  <dcterms:modified xsi:type="dcterms:W3CDTF">2016-04-12T23:44:00Z</dcterms:modified>
</cp:coreProperties>
</file>