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A8146" w14:textId="77777777" w:rsidR="00C330B2" w:rsidRDefault="00C330B2" w:rsidP="003D7C98">
      <w:bookmarkStart w:id="0" w:name="_GoBack"/>
      <w:bookmarkEnd w:id="0"/>
    </w:p>
    <w:p w14:paraId="340E255C" w14:textId="77777777" w:rsidR="00C330B2" w:rsidRDefault="00C330B2">
      <w:pPr>
        <w:ind w:left="-567"/>
      </w:pPr>
    </w:p>
    <w:p w14:paraId="1DBC067A" w14:textId="580532AE" w:rsidR="00C330B2" w:rsidRDefault="00C52B2D">
      <w:pPr>
        <w:ind w:left="-567"/>
      </w:pPr>
      <w:r>
        <w:rPr>
          <w:noProof/>
          <w:lang w:val="en-US"/>
        </w:rPr>
        <mc:AlternateContent>
          <mc:Choice Requires="wps">
            <w:drawing>
              <wp:anchor distT="0" distB="0" distL="114300" distR="114300" simplePos="0" relativeHeight="251656704" behindDoc="0" locked="0" layoutInCell="1" allowOverlap="1" wp14:anchorId="20A1D094" wp14:editId="0526EAF4">
                <wp:simplePos x="0" y="0"/>
                <wp:positionH relativeFrom="column">
                  <wp:posOffset>636905</wp:posOffset>
                </wp:positionH>
                <wp:positionV relativeFrom="paragraph">
                  <wp:posOffset>32385</wp:posOffset>
                </wp:positionV>
                <wp:extent cx="5029200" cy="1943100"/>
                <wp:effectExtent l="0" t="0" r="25400" b="381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943100"/>
                        </a:xfrm>
                        <a:prstGeom prst="rect">
                          <a:avLst/>
                        </a:prstGeom>
                        <a:solidFill>
                          <a:srgbClr val="FFFFFF"/>
                        </a:solidFill>
                        <a:ln w="9525">
                          <a:solidFill>
                            <a:srgbClr val="000000"/>
                          </a:solidFill>
                          <a:miter lim="800000"/>
                          <a:headEnd/>
                          <a:tailEnd/>
                        </a:ln>
                      </wps:spPr>
                      <wps:txbx>
                        <w:txbxContent>
                          <w:p w14:paraId="5491924F" w14:textId="6B3DA711" w:rsidR="00F80998" w:rsidRDefault="00F80998" w:rsidP="00755065">
                            <w:pPr>
                              <w:pStyle w:val="Titleofsubmission"/>
                            </w:pPr>
                            <w:r>
                              <w:t xml:space="preserve">Transformation of the gas transmission system </w:t>
                            </w:r>
                          </w:p>
                          <w:p w14:paraId="28F58FEE" w14:textId="4DCADE22" w:rsidR="00F80998" w:rsidRPr="00E121DE" w:rsidRDefault="00F80998" w:rsidP="00C52B2D">
                            <w:pPr>
                              <w:pStyle w:val="Titleofsubmission"/>
                              <w:rPr>
                                <w:sz w:val="28"/>
                                <w:szCs w:val="28"/>
                              </w:rPr>
                            </w:pPr>
                            <w:r w:rsidRPr="00E121DE">
                              <w:rPr>
                                <w:sz w:val="28"/>
                                <w:szCs w:val="28"/>
                              </w:rPr>
                              <w:t xml:space="preserve">Response to the </w:t>
                            </w:r>
                            <w:r>
                              <w:rPr>
                                <w:sz w:val="28"/>
                                <w:szCs w:val="28"/>
                              </w:rPr>
                              <w:t xml:space="preserve">Australian Energy Market Commission’s </w:t>
                            </w:r>
                            <w:r w:rsidRPr="00E121DE">
                              <w:rPr>
                                <w:sz w:val="28"/>
                                <w:szCs w:val="28"/>
                              </w:rPr>
                              <w:t xml:space="preserve">pipeline access discussion paper </w:t>
                            </w:r>
                          </w:p>
                          <w:p w14:paraId="6F9F6085" w14:textId="77777777" w:rsidR="00F80998" w:rsidRPr="00D32CB4" w:rsidRDefault="00F80998" w:rsidP="00D32CB4">
                            <w:pPr>
                              <w:pStyle w:val="Titleofsubmission"/>
                              <w:rPr>
                                <w:sz w:val="28"/>
                                <w:szCs w:val="28"/>
                              </w:rPr>
                            </w:pPr>
                            <w:r w:rsidRPr="00D32CB4">
                              <w:rPr>
                                <w:sz w:val="28"/>
                                <w:szCs w:val="28"/>
                              </w:rPr>
                              <w:t>29 March 2016</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0.15pt;margin-top:2.55pt;width:396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">
                <v:textbox inset="5mm,,5mm">
                  <w:txbxContent>
                    <w:p w14:paraId="5491924F" w14:textId="6B3DA711" w:rsidR="002B0BFA" w:rsidRDefault="002B0BFA" w:rsidP="00755065">
                      <w:pPr>
                        <w:pStyle w:val="Titleofsubmission"/>
                      </w:pPr>
                      <w:r>
                        <w:t xml:space="preserve">Transformation of the gas transmission system </w:t>
                      </w:r>
                    </w:p>
                    <w:p w14:paraId="28F58FEE" w14:textId="4DCADE22" w:rsidR="002B0BFA" w:rsidRPr="00E121DE" w:rsidRDefault="002B0BFA" w:rsidP="00C52B2D">
                      <w:pPr>
                        <w:pStyle w:val="Titleofsubmission"/>
                        <w:rPr>
                          <w:sz w:val="28"/>
                          <w:szCs w:val="28"/>
                        </w:rPr>
                      </w:pPr>
                      <w:r w:rsidRPr="00E121DE">
                        <w:rPr>
                          <w:sz w:val="28"/>
                          <w:szCs w:val="28"/>
                        </w:rPr>
                        <w:t xml:space="preserve">Response to the </w:t>
                      </w:r>
                      <w:r>
                        <w:rPr>
                          <w:sz w:val="28"/>
                          <w:szCs w:val="28"/>
                        </w:rPr>
                        <w:t xml:space="preserve">Australian Energy Market Commission’s </w:t>
                      </w:r>
                      <w:r w:rsidRPr="00E121DE">
                        <w:rPr>
                          <w:sz w:val="28"/>
                          <w:szCs w:val="28"/>
                        </w:rPr>
                        <w:t xml:space="preserve">pipeline access discussion paper </w:t>
                      </w:r>
                    </w:p>
                    <w:p w14:paraId="6F9F6085" w14:textId="77777777" w:rsidR="002B0BFA" w:rsidRPr="00D32CB4" w:rsidRDefault="002B0BFA" w:rsidP="00D32CB4">
                      <w:pPr>
                        <w:pStyle w:val="Titleofsubmission"/>
                        <w:rPr>
                          <w:sz w:val="28"/>
                          <w:szCs w:val="28"/>
                        </w:rPr>
                      </w:pPr>
                      <w:r w:rsidRPr="00D32CB4">
                        <w:rPr>
                          <w:sz w:val="28"/>
                          <w:szCs w:val="28"/>
                        </w:rPr>
                        <w:t>29 March 2016</w:t>
                      </w:r>
                    </w:p>
                  </w:txbxContent>
                </v:textbox>
              </v:shape>
            </w:pict>
          </mc:Fallback>
        </mc:AlternateContent>
      </w:r>
    </w:p>
    <w:p w14:paraId="515137CF" w14:textId="2E3590EA" w:rsidR="00C330B2" w:rsidRDefault="00C330B2">
      <w:pPr>
        <w:ind w:left="-567"/>
      </w:pPr>
    </w:p>
    <w:p w14:paraId="33D6D099" w14:textId="77777777" w:rsidR="00C330B2" w:rsidRDefault="00C330B2">
      <w:pPr>
        <w:ind w:left="-567"/>
      </w:pPr>
    </w:p>
    <w:p w14:paraId="530D5399" w14:textId="77777777" w:rsidR="00C330B2" w:rsidRDefault="00C330B2">
      <w:pPr>
        <w:ind w:left="-567"/>
      </w:pPr>
    </w:p>
    <w:p w14:paraId="414D0281" w14:textId="77777777" w:rsidR="00C330B2" w:rsidRDefault="00C330B2">
      <w:pPr>
        <w:ind w:left="-567"/>
      </w:pPr>
    </w:p>
    <w:p w14:paraId="4265D43F" w14:textId="77777777" w:rsidR="00C330B2" w:rsidRDefault="00C330B2">
      <w:pPr>
        <w:ind w:left="-567"/>
      </w:pPr>
    </w:p>
    <w:p w14:paraId="578C565E" w14:textId="77777777" w:rsidR="00C330B2" w:rsidRDefault="00C330B2">
      <w:pPr>
        <w:ind w:left="-567"/>
      </w:pPr>
    </w:p>
    <w:p w14:paraId="3DDA3A0D" w14:textId="77777777" w:rsidR="00C330B2" w:rsidRDefault="00C330B2">
      <w:pPr>
        <w:ind w:left="-567"/>
      </w:pPr>
    </w:p>
    <w:p w14:paraId="77F1DFC2" w14:textId="77777777" w:rsidR="00C330B2" w:rsidRDefault="00C330B2">
      <w:pPr>
        <w:ind w:left="-567"/>
      </w:pPr>
    </w:p>
    <w:p w14:paraId="152209EB" w14:textId="77777777" w:rsidR="00C330B2" w:rsidRDefault="00517B2D">
      <w:pPr>
        <w:ind w:left="-567"/>
      </w:pPr>
      <w:r>
        <w:rPr>
          <w:noProof/>
          <w:lang w:val="en-US"/>
        </w:rPr>
        <mc:AlternateContent>
          <mc:Choice Requires="wps">
            <w:drawing>
              <wp:anchor distT="0" distB="0" distL="114300" distR="114300" simplePos="0" relativeHeight="251657728" behindDoc="1" locked="0" layoutInCell="1" allowOverlap="1" wp14:anchorId="6BC3D22C" wp14:editId="5262DD17">
                <wp:simplePos x="0" y="0"/>
                <wp:positionH relativeFrom="column">
                  <wp:posOffset>-291465</wp:posOffset>
                </wp:positionH>
                <wp:positionV relativeFrom="paragraph">
                  <wp:posOffset>167640</wp:posOffset>
                </wp:positionV>
                <wp:extent cx="52578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890029"/>
                        </a:solidFill>
                        <a:ln w="9525">
                          <a:solidFill>
                            <a:srgbClr val="890029"/>
                          </a:solidFill>
                          <a:miter lim="800000"/>
                          <a:headEnd/>
                          <a:tailEnd/>
                        </a:ln>
                      </wps:spPr>
                      <wps:txbx>
                        <w:txbxContent>
                          <w:p w14:paraId="44F252B8" w14:textId="77777777" w:rsidR="00F80998" w:rsidRDefault="00F809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2.9pt;margin-top:13.2pt;width:4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" fillcolor="#890029" strokecolor="#890029">
                <v:textbox>
                  <w:txbxContent>
                    <w:p w14:paraId="44F252B8" w14:textId="77777777" w:rsidR="002B0BFA" w:rsidRDefault="002B0BFA"/>
                  </w:txbxContent>
                </v:textbox>
              </v:shape>
            </w:pict>
          </mc:Fallback>
        </mc:AlternateContent>
      </w:r>
    </w:p>
    <w:p w14:paraId="55E33A56" w14:textId="77777777" w:rsidR="00C330B2" w:rsidRDefault="00C330B2">
      <w:pPr>
        <w:ind w:left="-567"/>
      </w:pPr>
    </w:p>
    <w:p w14:paraId="0941D767" w14:textId="77777777" w:rsidR="00C330B2" w:rsidRDefault="00C330B2">
      <w:pPr>
        <w:ind w:left="-567"/>
      </w:pPr>
    </w:p>
    <w:p w14:paraId="3DF13BF2" w14:textId="77777777" w:rsidR="00C330B2" w:rsidRDefault="00C330B2">
      <w:pPr>
        <w:ind w:left="-567"/>
      </w:pPr>
    </w:p>
    <w:p w14:paraId="6A958F39" w14:textId="77777777" w:rsidR="00C330B2" w:rsidRDefault="00C330B2">
      <w:pPr>
        <w:ind w:left="-567"/>
      </w:pPr>
    </w:p>
    <w:p w14:paraId="06A47585" w14:textId="77777777" w:rsidR="00C330B2" w:rsidRDefault="00C330B2">
      <w:pPr>
        <w:ind w:left="-567"/>
      </w:pPr>
    </w:p>
    <w:p w14:paraId="6E3D33CC" w14:textId="77777777" w:rsidR="00C330B2" w:rsidRDefault="00C330B2">
      <w:pPr>
        <w:ind w:left="-567"/>
      </w:pPr>
    </w:p>
    <w:p w14:paraId="3CF91A10" w14:textId="77777777" w:rsidR="00C330B2" w:rsidRDefault="00C330B2">
      <w:pPr>
        <w:ind w:left="-567"/>
      </w:pPr>
    </w:p>
    <w:p w14:paraId="3B69A284" w14:textId="77777777" w:rsidR="00C330B2" w:rsidRDefault="00C330B2">
      <w:pPr>
        <w:ind w:left="-567"/>
      </w:pPr>
    </w:p>
    <w:p w14:paraId="5E8C7F76" w14:textId="77777777" w:rsidR="00C330B2" w:rsidRDefault="00C330B2">
      <w:pPr>
        <w:ind w:left="-567"/>
      </w:pPr>
    </w:p>
    <w:p w14:paraId="4F02C615" w14:textId="77777777" w:rsidR="00C330B2" w:rsidRDefault="00C330B2">
      <w:pPr>
        <w:ind w:left="-567"/>
      </w:pPr>
    </w:p>
    <w:p w14:paraId="3875E2E7" w14:textId="77777777" w:rsidR="00C330B2" w:rsidRDefault="00C330B2">
      <w:pPr>
        <w:ind w:left="-567"/>
      </w:pPr>
    </w:p>
    <w:p w14:paraId="1D8E9881" w14:textId="77777777" w:rsidR="00C330B2" w:rsidRDefault="00517B2D">
      <w:pPr>
        <w:ind w:left="-567"/>
      </w:pPr>
      <w:r>
        <w:rPr>
          <w:noProof/>
          <w:lang w:val="en-US"/>
        </w:rPr>
        <mc:AlternateContent>
          <mc:Choice Requires="wps">
            <w:drawing>
              <wp:anchor distT="0" distB="0" distL="114300" distR="114300" simplePos="0" relativeHeight="251658752" behindDoc="0" locked="0" layoutInCell="1" allowOverlap="1" wp14:anchorId="35C8A5FB" wp14:editId="29330CCA">
                <wp:simplePos x="0" y="0"/>
                <wp:positionH relativeFrom="column">
                  <wp:posOffset>622935</wp:posOffset>
                </wp:positionH>
                <wp:positionV relativeFrom="paragraph">
                  <wp:posOffset>167639</wp:posOffset>
                </wp:positionV>
                <wp:extent cx="5029200" cy="931545"/>
                <wp:effectExtent l="0" t="0" r="25400" b="336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31545"/>
                        </a:xfrm>
                        <a:prstGeom prst="rect">
                          <a:avLst/>
                        </a:prstGeom>
                        <a:solidFill>
                          <a:srgbClr val="FFFFFF"/>
                        </a:solidFill>
                        <a:ln w="9525">
                          <a:solidFill>
                            <a:srgbClr val="000000"/>
                          </a:solidFill>
                          <a:miter lim="800000"/>
                          <a:headEnd/>
                          <a:tailEnd/>
                        </a:ln>
                      </wps:spPr>
                      <wps:txbx>
                        <w:txbxContent>
                          <w:p w14:paraId="2B99C791" w14:textId="77777777" w:rsidR="00F80998" w:rsidRDefault="00F80998" w:rsidP="00705E1E">
                            <w:pPr>
                              <w:pStyle w:val="DateAuthor"/>
                            </w:pPr>
                            <w:r>
                              <w:t xml:space="preserve">Kristal Burry, Policy Officer </w:t>
                            </w:r>
                          </w:p>
                          <w:p w14:paraId="3031C32B" w14:textId="3974FC30" w:rsidR="00F80998" w:rsidRDefault="00F80998" w:rsidP="00705E1E">
                            <w:pPr>
                              <w:pStyle w:val="DateAuthor"/>
                            </w:pPr>
                            <w:r>
                              <w:t>Energy + Water Consumers’ Advocacy Program</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9.05pt;margin-top:13.2pt;width:396pt;height:7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">
                <v:textbox inset="5mm,,5mm">
                  <w:txbxContent>
                    <w:p w14:paraId="2B99C791" w14:textId="77777777" w:rsidR="002B0BFA" w:rsidRDefault="002B0BFA" w:rsidP="00705E1E">
                      <w:pPr>
                        <w:pStyle w:val="DateAuthor"/>
                      </w:pPr>
                      <w:r>
                        <w:t xml:space="preserve">Kristal Burry, Policy Officer </w:t>
                      </w:r>
                    </w:p>
                    <w:p w14:paraId="3031C32B" w14:textId="3974FC30" w:rsidR="002B0BFA" w:rsidRDefault="002B0BFA" w:rsidP="00705E1E">
                      <w:pPr>
                        <w:pStyle w:val="DateAuthor"/>
                      </w:pPr>
                      <w:r>
                        <w:t>Energy + Water Consumers’ Advocacy Program</w:t>
                      </w:r>
                    </w:p>
                  </w:txbxContent>
                </v:textbox>
              </v:shape>
            </w:pict>
          </mc:Fallback>
        </mc:AlternateContent>
      </w:r>
    </w:p>
    <w:p w14:paraId="027D4583" w14:textId="77777777" w:rsidR="00C330B2" w:rsidRDefault="00C330B2">
      <w:pPr>
        <w:ind w:left="-567"/>
      </w:pPr>
    </w:p>
    <w:p w14:paraId="1AE0725B" w14:textId="77777777" w:rsidR="00C330B2" w:rsidRDefault="00C330B2">
      <w:pPr>
        <w:ind w:left="-567"/>
      </w:pPr>
    </w:p>
    <w:p w14:paraId="2F8FD6A4" w14:textId="77777777" w:rsidR="00C330B2" w:rsidRDefault="00C330B2">
      <w:pPr>
        <w:ind w:left="-567"/>
      </w:pPr>
    </w:p>
    <w:p w14:paraId="3C2A2A4B" w14:textId="77777777" w:rsidR="00C330B2" w:rsidRDefault="00C330B2">
      <w:pPr>
        <w:ind w:left="-567"/>
      </w:pPr>
    </w:p>
    <w:p w14:paraId="38A55B7C" w14:textId="77777777" w:rsidR="00C330B2" w:rsidRDefault="00C330B2">
      <w:pPr>
        <w:ind w:left="-567"/>
      </w:pPr>
    </w:p>
    <w:p w14:paraId="3AB36E87" w14:textId="77777777" w:rsidR="00C330B2" w:rsidRDefault="00C330B2">
      <w:pPr>
        <w:ind w:left="-567"/>
      </w:pPr>
    </w:p>
    <w:p w14:paraId="10A3F9A7" w14:textId="77777777" w:rsidR="00C330B2" w:rsidRDefault="00C330B2">
      <w:pPr>
        <w:ind w:left="-567"/>
      </w:pPr>
    </w:p>
    <w:p w14:paraId="7DAD2F84" w14:textId="77777777" w:rsidR="00C330B2" w:rsidRDefault="00C330B2">
      <w:pPr>
        <w:ind w:left="-567"/>
      </w:pPr>
    </w:p>
    <w:p w14:paraId="7804CF77" w14:textId="77777777" w:rsidR="00C330B2" w:rsidRDefault="00C330B2">
      <w:pPr>
        <w:ind w:left="-567"/>
      </w:pPr>
    </w:p>
    <w:p w14:paraId="6B97F373" w14:textId="77777777" w:rsidR="00C330B2" w:rsidRDefault="00C330B2">
      <w:pPr>
        <w:ind w:left="-567"/>
      </w:pPr>
    </w:p>
    <w:p w14:paraId="3F638048" w14:textId="77777777" w:rsidR="00C330B2" w:rsidRDefault="00C330B2">
      <w:pPr>
        <w:ind w:left="-567"/>
      </w:pPr>
    </w:p>
    <w:p w14:paraId="673D2D96" w14:textId="77777777" w:rsidR="00C330B2" w:rsidRDefault="00C330B2">
      <w:pPr>
        <w:ind w:left="-567"/>
      </w:pPr>
    </w:p>
    <w:p w14:paraId="310AAEC2" w14:textId="77777777" w:rsidR="00C330B2" w:rsidRDefault="00C330B2">
      <w:pPr>
        <w:ind w:left="-567"/>
      </w:pPr>
    </w:p>
    <w:p w14:paraId="01DF0519" w14:textId="77777777" w:rsidR="00C330B2" w:rsidRDefault="00521EFA" w:rsidP="00521EFA">
      <w:pPr>
        <w:tabs>
          <w:tab w:val="left" w:pos="427"/>
        </w:tabs>
        <w:ind w:left="-567"/>
      </w:pPr>
      <w:r>
        <w:tab/>
      </w:r>
    </w:p>
    <w:p w14:paraId="63D34188" w14:textId="77777777" w:rsidR="00521EFA" w:rsidRDefault="00521EFA" w:rsidP="00521EFA">
      <w:pPr>
        <w:tabs>
          <w:tab w:val="left" w:pos="427"/>
        </w:tabs>
        <w:ind w:left="-567"/>
      </w:pPr>
    </w:p>
    <w:p w14:paraId="3A85FA1E" w14:textId="77777777" w:rsidR="00521EFA" w:rsidRDefault="00521EFA" w:rsidP="00521EFA">
      <w:pPr>
        <w:tabs>
          <w:tab w:val="left" w:pos="427"/>
        </w:tabs>
        <w:ind w:left="-567"/>
      </w:pPr>
    </w:p>
    <w:p w14:paraId="40D9171B" w14:textId="77777777" w:rsidR="00521EFA" w:rsidRDefault="00521EFA" w:rsidP="00521EFA">
      <w:pPr>
        <w:tabs>
          <w:tab w:val="left" w:pos="427"/>
        </w:tabs>
        <w:ind w:left="-567"/>
      </w:pPr>
    </w:p>
    <w:p w14:paraId="63584837" w14:textId="77777777" w:rsidR="00521EFA" w:rsidRDefault="00521EFA" w:rsidP="00521EFA">
      <w:pPr>
        <w:tabs>
          <w:tab w:val="left" w:pos="427"/>
        </w:tabs>
        <w:ind w:left="-567"/>
      </w:pPr>
    </w:p>
    <w:p w14:paraId="4CD744EA" w14:textId="77777777" w:rsidR="00521EFA" w:rsidRDefault="00521EFA" w:rsidP="00521EFA">
      <w:pPr>
        <w:tabs>
          <w:tab w:val="left" w:pos="427"/>
        </w:tabs>
        <w:ind w:left="-567"/>
      </w:pPr>
    </w:p>
    <w:p w14:paraId="797BA42A" w14:textId="77777777" w:rsidR="00521EFA" w:rsidRDefault="00521EFA" w:rsidP="00521EFA">
      <w:pPr>
        <w:tabs>
          <w:tab w:val="left" w:pos="427"/>
        </w:tabs>
        <w:ind w:left="-567"/>
      </w:pPr>
    </w:p>
    <w:p w14:paraId="1755D353" w14:textId="77777777" w:rsidR="00C330B2" w:rsidRDefault="00C330B2">
      <w:pPr>
        <w:ind w:left="-567"/>
      </w:pPr>
    </w:p>
    <w:p w14:paraId="5298D890" w14:textId="77777777" w:rsidR="00C330B2" w:rsidRDefault="00C330B2">
      <w:pPr>
        <w:ind w:left="-567"/>
      </w:pPr>
    </w:p>
    <w:p w14:paraId="4CB8FC1B" w14:textId="77777777" w:rsidR="00C330B2" w:rsidRDefault="00C330B2">
      <w:pPr>
        <w:ind w:left="-567"/>
      </w:pPr>
    </w:p>
    <w:p w14:paraId="6FAC71F2" w14:textId="77777777" w:rsidR="00C330B2" w:rsidRDefault="00C330B2">
      <w:pPr>
        <w:ind w:left="-567"/>
      </w:pPr>
    </w:p>
    <w:p w14:paraId="459C3E76" w14:textId="77777777" w:rsidR="00C330B2" w:rsidRDefault="00C330B2">
      <w:pPr>
        <w:ind w:left="-567"/>
      </w:pPr>
    </w:p>
    <w:p w14:paraId="1614FDED" w14:textId="77777777" w:rsidR="00C330B2" w:rsidRDefault="00C330B2"/>
    <w:p w14:paraId="3E5E2465" w14:textId="77777777" w:rsidR="00C330B2" w:rsidRDefault="00C330B2">
      <w:pPr>
        <w:sectPr w:rsidR="00C330B2">
          <w:headerReference w:type="default" r:id="rId9"/>
          <w:footerReference w:type="default" r:id="rId10"/>
          <w:pgSz w:w="11901" w:h="16840"/>
          <w:pgMar w:top="4253" w:right="992" w:bottom="1134" w:left="1418" w:header="851" w:footer="822" w:gutter="0"/>
          <w:cols w:space="720"/>
        </w:sectPr>
      </w:pPr>
    </w:p>
    <w:p w14:paraId="707CBFB7" w14:textId="77777777" w:rsidR="00C330B2" w:rsidRPr="00E14658" w:rsidRDefault="00C330B2" w:rsidP="00282925">
      <w:pPr>
        <w:pStyle w:val="Heading1"/>
      </w:pPr>
      <w:bookmarkStart w:id="1" w:name="_Toc113434256"/>
      <w:r w:rsidRPr="00E14658">
        <w:t xml:space="preserve">The Public </w:t>
      </w:r>
      <w:r w:rsidRPr="00705E1E">
        <w:t>Interest</w:t>
      </w:r>
      <w:r w:rsidRPr="00E14658">
        <w:t xml:space="preserve"> Advocacy Centre</w:t>
      </w:r>
      <w:bookmarkEnd w:id="1"/>
    </w:p>
    <w:p w14:paraId="7CD3B0CF" w14:textId="77777777" w:rsidR="00C330B2" w:rsidRDefault="00C330B2" w:rsidP="00C330B2">
      <w:r>
        <w:t>The Public Interest Advocacy Centre (PIAC) is an independent, non-profit law and policy organisation that works for a fair, just and democratic society, empowering citizens, consumers and communities by taking strategic action on public interest issues.</w:t>
      </w:r>
    </w:p>
    <w:p w14:paraId="6032F39A" w14:textId="77777777" w:rsidR="00C330B2" w:rsidRDefault="00C330B2"/>
    <w:p w14:paraId="1DB84545" w14:textId="77777777" w:rsidR="00C330B2" w:rsidRDefault="00C330B2">
      <w:r>
        <w:t>PIAC identifies public interest issues and, where possible and appropriate, works co-operatively with other organisations to advocate for individuals and groups affected. PIAC seeks to:</w:t>
      </w:r>
    </w:p>
    <w:p w14:paraId="4146383D" w14:textId="77777777" w:rsidR="00C330B2" w:rsidRDefault="00C330B2"/>
    <w:p w14:paraId="3DE863A3" w14:textId="77777777" w:rsidR="00C330B2" w:rsidRDefault="00C330B2">
      <w:pPr>
        <w:pStyle w:val="BullettedList"/>
      </w:pPr>
      <w:proofErr w:type="gramStart"/>
      <w:r>
        <w:t>expose</w:t>
      </w:r>
      <w:proofErr w:type="gramEnd"/>
      <w:r>
        <w:t xml:space="preserve"> and redress unjust or unsafe practices, deficient laws or policies;</w:t>
      </w:r>
    </w:p>
    <w:p w14:paraId="17433823" w14:textId="77777777" w:rsidR="00C330B2" w:rsidRDefault="00C330B2">
      <w:pPr>
        <w:pStyle w:val="BullettedList"/>
      </w:pPr>
      <w:proofErr w:type="gramStart"/>
      <w:r>
        <w:t>promote</w:t>
      </w:r>
      <w:proofErr w:type="gramEnd"/>
      <w:r>
        <w:t xml:space="preserve"> accountable, transparent and responsive government;</w:t>
      </w:r>
    </w:p>
    <w:p w14:paraId="08CD5AFA" w14:textId="77777777" w:rsidR="00C330B2" w:rsidRDefault="00C330B2" w:rsidP="00C330B2">
      <w:pPr>
        <w:pStyle w:val="BullettedList"/>
      </w:pPr>
      <w:proofErr w:type="gramStart"/>
      <w:r>
        <w:t>encourage</w:t>
      </w:r>
      <w:proofErr w:type="gramEnd"/>
      <w:r>
        <w:t xml:space="preserve">, influence and inform public debate on issues affecting </w:t>
      </w:r>
      <w:r w:rsidR="004B4501">
        <w:t>legal and democratic rights;</w:t>
      </w:r>
    </w:p>
    <w:p w14:paraId="4927EE81" w14:textId="77777777" w:rsidR="00C330B2" w:rsidRDefault="00C330B2">
      <w:pPr>
        <w:pStyle w:val="BullettedList"/>
      </w:pPr>
      <w:proofErr w:type="gramStart"/>
      <w:r>
        <w:t>promote</w:t>
      </w:r>
      <w:proofErr w:type="gramEnd"/>
      <w:r>
        <w:t xml:space="preserve"> the development of law that reflects the public interest;</w:t>
      </w:r>
    </w:p>
    <w:p w14:paraId="1BF5A1DC" w14:textId="77777777" w:rsidR="00C330B2" w:rsidRDefault="00C330B2">
      <w:pPr>
        <w:pStyle w:val="BullettedList"/>
      </w:pPr>
      <w:proofErr w:type="gramStart"/>
      <w:r>
        <w:t>develop</w:t>
      </w:r>
      <w:proofErr w:type="gramEnd"/>
      <w:r>
        <w:t xml:space="preserve"> and assist community organisations with a public interest focus to pursue the interests of the communities they represent;</w:t>
      </w:r>
    </w:p>
    <w:p w14:paraId="394F23FA" w14:textId="77777777" w:rsidR="00C330B2" w:rsidRDefault="00C330B2">
      <w:pPr>
        <w:pStyle w:val="BullettedList"/>
      </w:pPr>
      <w:proofErr w:type="gramStart"/>
      <w:r>
        <w:t>develop</w:t>
      </w:r>
      <w:proofErr w:type="gramEnd"/>
      <w:r>
        <w:t xml:space="preserve"> models to respond to unmet legal need; and</w:t>
      </w:r>
    </w:p>
    <w:p w14:paraId="2C240A5C" w14:textId="77777777" w:rsidR="00C330B2" w:rsidRPr="00EC7B6E" w:rsidRDefault="00C330B2" w:rsidP="00C330B2">
      <w:pPr>
        <w:pStyle w:val="BullettedList"/>
      </w:pPr>
      <w:proofErr w:type="gramStart"/>
      <w:r w:rsidRPr="00EC7B6E">
        <w:t>maintain</w:t>
      </w:r>
      <w:proofErr w:type="gramEnd"/>
      <w:r w:rsidRPr="00EC7B6E">
        <w:t xml:space="preserve"> an effective and sustainable organisation.</w:t>
      </w:r>
    </w:p>
    <w:p w14:paraId="7DAE2B68" w14:textId="77777777" w:rsidR="00C330B2" w:rsidRDefault="00C330B2"/>
    <w:p w14:paraId="1DC439A2" w14:textId="77777777" w:rsidR="00C330B2" w:rsidRDefault="00C330B2" w:rsidP="00C330B2">
      <w:r>
        <w:t xml:space="preserve">Established in July 1982 as an initiative of the (then) Law Foundation of New South Wales, with support from the NSW Legal Aid Commission, PIAC was the first, and remains the only broadly based public interest legal centre in Australia.  Financial support for PIAC comes primarily from the NSW Public Purpose Fund and the Commonwealth and State Community Legal Services Program.  PIAC also receives funding from </w:t>
      </w:r>
      <w:r w:rsidR="004B4501">
        <w:t>NSW</w:t>
      </w:r>
      <w:r w:rsidR="003D7878">
        <w:t xml:space="preserve"> Trade</w:t>
      </w:r>
      <w:r>
        <w:t xml:space="preserve"> and Investment</w:t>
      </w:r>
      <w:r w:rsidR="003D7878">
        <w:t xml:space="preserve"> </w:t>
      </w:r>
      <w:r>
        <w:t xml:space="preserve">for its work on energy and water, and from </w:t>
      </w:r>
      <w:proofErr w:type="spellStart"/>
      <w:r>
        <w:t>Allens</w:t>
      </w:r>
      <w:proofErr w:type="spellEnd"/>
      <w:r>
        <w:t xml:space="preserve"> for its Indigenous Justice Program.  PIAC also generates income from project and case grants, seminars, consultancy fees, donations and recovery of costs in legal actions.</w:t>
      </w:r>
    </w:p>
    <w:p w14:paraId="0BE3B147" w14:textId="77777777" w:rsidR="00192E1E" w:rsidRDefault="00192E1E" w:rsidP="00282925">
      <w:pPr>
        <w:pStyle w:val="Heading2"/>
      </w:pPr>
      <w:bookmarkStart w:id="2" w:name="_Toc113434258"/>
      <w:r>
        <w:t xml:space="preserve">Energy + Water Consumer’s Advocacy Program </w:t>
      </w:r>
    </w:p>
    <w:p w14:paraId="3914B7D3" w14:textId="77777777" w:rsidR="00192E1E" w:rsidRDefault="00192E1E" w:rsidP="00192E1E">
      <w:r>
        <w:t>This Program was established at PIAC as the Utilities Consumer’s Advocacy Program in 1998 with NSW Government funding. The aim of the program is to develop policy and advocate in the interests of low-income and other residential consumers in the NSW energy and water markets. PIAC receives policy input to the program from a community-based reference group whose members include:</w:t>
      </w:r>
    </w:p>
    <w:p w14:paraId="796AECD7" w14:textId="77777777" w:rsidR="001324B4" w:rsidRDefault="001324B4" w:rsidP="00192E1E"/>
    <w:p w14:paraId="6ADCFAFB" w14:textId="77777777" w:rsidR="00192E1E" w:rsidRDefault="00192E1E" w:rsidP="00192E1E">
      <w:pPr>
        <w:pStyle w:val="BullettedList"/>
      </w:pPr>
      <w:r>
        <w:t>Council of Social Service of NSW (NCOSS);</w:t>
      </w:r>
    </w:p>
    <w:p w14:paraId="3A956D83" w14:textId="77777777" w:rsidR="00192E1E" w:rsidRDefault="00192E1E" w:rsidP="00192E1E">
      <w:pPr>
        <w:pStyle w:val="BullettedList"/>
      </w:pPr>
      <w:r>
        <w:t>Combined Pensioners and Superannuants Association of NSW;</w:t>
      </w:r>
    </w:p>
    <w:p w14:paraId="11971E06" w14:textId="77777777" w:rsidR="00192E1E" w:rsidRDefault="00192E1E" w:rsidP="00192E1E">
      <w:pPr>
        <w:pStyle w:val="BullettedList"/>
      </w:pPr>
      <w:r>
        <w:t>Tenants Union of NSW;</w:t>
      </w:r>
    </w:p>
    <w:p w14:paraId="6D678114" w14:textId="77777777" w:rsidR="00192E1E" w:rsidRDefault="00192E1E" w:rsidP="00192E1E">
      <w:pPr>
        <w:pStyle w:val="BullettedList"/>
      </w:pPr>
      <w:r>
        <w:t>Ethnic Communities Council of NSW;</w:t>
      </w:r>
    </w:p>
    <w:p w14:paraId="36CFBF3F" w14:textId="77777777" w:rsidR="00192E1E" w:rsidRDefault="00192E1E" w:rsidP="00192E1E">
      <w:pPr>
        <w:pStyle w:val="BullettedList"/>
      </w:pPr>
      <w:r>
        <w:t xml:space="preserve">Physical Disability Council of NSW; </w:t>
      </w:r>
    </w:p>
    <w:p w14:paraId="5AE8ABC7" w14:textId="77777777" w:rsidR="00192E1E" w:rsidRDefault="00192E1E" w:rsidP="00192E1E">
      <w:pPr>
        <w:pStyle w:val="BullettedList"/>
      </w:pPr>
      <w:r>
        <w:t>St Vincent de Paul Society of NSW; and</w:t>
      </w:r>
    </w:p>
    <w:p w14:paraId="2B12CD9B" w14:textId="77777777" w:rsidR="00192E1E" w:rsidRDefault="00192E1E" w:rsidP="00192E1E">
      <w:pPr>
        <w:pStyle w:val="BullettedList"/>
      </w:pPr>
      <w:r>
        <w:rPr>
          <w:szCs w:val="22"/>
        </w:rPr>
        <w:t>Good Shepherd Microfinance</w:t>
      </w:r>
      <w:r>
        <w:t xml:space="preserve">. </w:t>
      </w:r>
    </w:p>
    <w:bookmarkEnd w:id="2"/>
    <w:p w14:paraId="4E1A19F4" w14:textId="77777777" w:rsidR="00C330B2" w:rsidRPr="00D802F5" w:rsidRDefault="00C330B2" w:rsidP="00C330B2"/>
    <w:p w14:paraId="5A6296B5" w14:textId="26507EC2" w:rsidR="00C330B2" w:rsidRDefault="00C330B2" w:rsidP="00282925">
      <w:pPr>
        <w:pStyle w:val="Heading1"/>
      </w:pPr>
      <w:bookmarkStart w:id="3" w:name="_Toc113434260"/>
      <w:r>
        <w:br w:type="page"/>
      </w:r>
      <w:bookmarkEnd w:id="3"/>
      <w:r w:rsidR="00282925">
        <w:t xml:space="preserve">Introduction </w:t>
      </w:r>
    </w:p>
    <w:p w14:paraId="7B54811B" w14:textId="24045E67" w:rsidR="00B21AAE" w:rsidRDefault="008C06C5">
      <w:r>
        <w:t>PIAC welcomes the opportunity to comment on the</w:t>
      </w:r>
      <w:r w:rsidR="0057601C">
        <w:t xml:space="preserve"> Australian Energy Market Commission’s </w:t>
      </w:r>
      <w:r w:rsidR="00B21AAE">
        <w:t xml:space="preserve">(AEMC) </w:t>
      </w:r>
      <w:r w:rsidR="0057601C" w:rsidRPr="00B21AAE">
        <w:rPr>
          <w:i/>
        </w:rPr>
        <w:t>Pipeline Access Discussion Paper</w:t>
      </w:r>
      <w:r w:rsidR="0057601C">
        <w:t>.</w:t>
      </w:r>
      <w:bookmarkStart w:id="4" w:name="_Ref319230741"/>
      <w:r w:rsidR="0057601C">
        <w:rPr>
          <w:rStyle w:val="FootnoteReference"/>
        </w:rPr>
        <w:footnoteReference w:id="1"/>
      </w:r>
      <w:bookmarkEnd w:id="4"/>
      <w:r w:rsidR="0057601C">
        <w:t xml:space="preserve"> </w:t>
      </w:r>
      <w:r w:rsidR="00B21AAE">
        <w:t xml:space="preserve">The discussion paper </w:t>
      </w:r>
      <w:r w:rsidR="001324B4">
        <w:t>arises from</w:t>
      </w:r>
      <w:r w:rsidR="00B21AAE">
        <w:t xml:space="preserve"> recommendations </w:t>
      </w:r>
      <w:r w:rsidR="001324B4">
        <w:t xml:space="preserve">in </w:t>
      </w:r>
      <w:r w:rsidR="00B21AAE">
        <w:t>the</w:t>
      </w:r>
      <w:r w:rsidR="00B21AAE" w:rsidRPr="00B21AAE">
        <w:rPr>
          <w:i/>
        </w:rPr>
        <w:t xml:space="preserve"> </w:t>
      </w:r>
      <w:r w:rsidR="00B21AAE">
        <w:rPr>
          <w:i/>
        </w:rPr>
        <w:t>Stage 2 Draft Report: East Coast Wholesale Gas Market and Pipeline Frameworks Review</w:t>
      </w:r>
      <w:r w:rsidR="0098066F">
        <w:rPr>
          <w:rStyle w:val="FootnoteReference"/>
          <w:i/>
        </w:rPr>
        <w:footnoteReference w:id="2"/>
      </w:r>
      <w:r w:rsidR="00A3565E">
        <w:rPr>
          <w:i/>
        </w:rPr>
        <w:t xml:space="preserve"> </w:t>
      </w:r>
      <w:r w:rsidR="00A3565E">
        <w:t>(the Stage 2 report)</w:t>
      </w:r>
      <w:r w:rsidR="00B21AAE">
        <w:rPr>
          <w:i/>
        </w:rPr>
        <w:t xml:space="preserve"> </w:t>
      </w:r>
      <w:r w:rsidR="0098066F">
        <w:t>to reform the contract carriage model of gas transportation in the east coast market outside of the Victorian declared transmission system.</w:t>
      </w:r>
      <w:r w:rsidR="0098066F">
        <w:rPr>
          <w:rStyle w:val="FootnoteReference"/>
        </w:rPr>
        <w:footnoteReference w:id="3"/>
      </w:r>
      <w:r w:rsidR="0098066F">
        <w:t xml:space="preserve"> </w:t>
      </w:r>
    </w:p>
    <w:p w14:paraId="0EA6AD1A" w14:textId="77777777" w:rsidR="0098066F" w:rsidRDefault="0098066F"/>
    <w:p w14:paraId="2B4B7BD0" w14:textId="55F3FB78" w:rsidR="0098066F" w:rsidRDefault="0098066F">
      <w:r>
        <w:t xml:space="preserve">The review intends to improve </w:t>
      </w:r>
      <w:r w:rsidR="00310900">
        <w:t>the level of capacity trading in the market by:</w:t>
      </w:r>
    </w:p>
    <w:p w14:paraId="42B518F7" w14:textId="01F6710E" w:rsidR="00310900" w:rsidRPr="008D490E" w:rsidRDefault="00026C87" w:rsidP="001113F3">
      <w:pPr>
        <w:pStyle w:val="BullettedList"/>
      </w:pPr>
      <w:proofErr w:type="gramStart"/>
      <w:r w:rsidRPr="008D490E">
        <w:t>reducing</w:t>
      </w:r>
      <w:proofErr w:type="gramEnd"/>
      <w:r w:rsidRPr="008D490E">
        <w:t xml:space="preserve"> search and transaction costs involved in trades, </w:t>
      </w:r>
    </w:p>
    <w:p w14:paraId="3A1EB48A" w14:textId="0AED8FAC" w:rsidR="005A6A2E" w:rsidRPr="008D490E" w:rsidRDefault="005A6A2E" w:rsidP="001113F3">
      <w:pPr>
        <w:pStyle w:val="BullettedList"/>
      </w:pPr>
      <w:proofErr w:type="gramStart"/>
      <w:r w:rsidRPr="008D490E">
        <w:t>enabling</w:t>
      </w:r>
      <w:proofErr w:type="gramEnd"/>
      <w:r w:rsidRPr="008D490E">
        <w:t xml:space="preserve"> shippers to obtain competitively priced un-nominated capacity;</w:t>
      </w:r>
    </w:p>
    <w:p w14:paraId="4700F616" w14:textId="5905AAD6" w:rsidR="005A6A2E" w:rsidRPr="008D490E" w:rsidRDefault="005A6A2E" w:rsidP="001113F3">
      <w:pPr>
        <w:pStyle w:val="BullettedList"/>
      </w:pPr>
      <w:proofErr w:type="gramStart"/>
      <w:r w:rsidRPr="008D490E">
        <w:t>improving</w:t>
      </w:r>
      <w:proofErr w:type="gramEnd"/>
      <w:r w:rsidRPr="008D490E">
        <w:t xml:space="preserve"> the incentives for shippers to trade capacity;</w:t>
      </w:r>
    </w:p>
    <w:p w14:paraId="56AD7F9E" w14:textId="01A1AFB6" w:rsidR="005A6A2E" w:rsidRPr="008D490E" w:rsidRDefault="005A6A2E" w:rsidP="001113F3">
      <w:pPr>
        <w:pStyle w:val="BullettedList"/>
      </w:pPr>
      <w:proofErr w:type="gramStart"/>
      <w:r w:rsidRPr="008D490E">
        <w:t>reducing</w:t>
      </w:r>
      <w:proofErr w:type="gramEnd"/>
      <w:r w:rsidRPr="008D490E">
        <w:t xml:space="preserve"> actual or perceived </w:t>
      </w:r>
      <w:r w:rsidR="00AC46F2" w:rsidRPr="008D490E">
        <w:t>discriminatory</w:t>
      </w:r>
      <w:r w:rsidRPr="008D490E">
        <w:t xml:space="preserve"> access to </w:t>
      </w:r>
      <w:r w:rsidR="00AC46F2" w:rsidRPr="008D490E">
        <w:t>capacity; and</w:t>
      </w:r>
    </w:p>
    <w:p w14:paraId="68999073" w14:textId="32DE7AE9" w:rsidR="00AC46F2" w:rsidRPr="008D490E" w:rsidRDefault="00AC46F2" w:rsidP="001113F3">
      <w:pPr>
        <w:pStyle w:val="BullettedList"/>
      </w:pPr>
      <w:proofErr w:type="gramStart"/>
      <w:r w:rsidRPr="008D490E">
        <w:t>improving</w:t>
      </w:r>
      <w:proofErr w:type="gramEnd"/>
      <w:r w:rsidRPr="008D490E">
        <w:t xml:space="preserve"> the information on which decisions in the sector are made.</w:t>
      </w:r>
      <w:r w:rsidRPr="00A345A0">
        <w:rPr>
          <w:rStyle w:val="FootnoteReference"/>
        </w:rPr>
        <w:footnoteReference w:id="4"/>
      </w:r>
    </w:p>
    <w:p w14:paraId="0DD5CA84" w14:textId="77777777" w:rsidR="00675C56" w:rsidRDefault="00675C56" w:rsidP="00675C56">
      <w:pPr>
        <w:pStyle w:val="BullettedList"/>
        <w:numPr>
          <w:ilvl w:val="0"/>
          <w:numId w:val="0"/>
        </w:numPr>
      </w:pPr>
    </w:p>
    <w:p w14:paraId="5DC6E465" w14:textId="76F393EE" w:rsidR="00675C56" w:rsidRDefault="00343318" w:rsidP="00675C56">
      <w:r>
        <w:t>The discussion paper seeks feedback on</w:t>
      </w:r>
      <w:r w:rsidR="004759F3">
        <w:t>:</w:t>
      </w:r>
    </w:p>
    <w:p w14:paraId="1FA5A5C1" w14:textId="1DE5D354" w:rsidR="008D490E" w:rsidRDefault="004759F3" w:rsidP="004759F3">
      <w:pPr>
        <w:pStyle w:val="BullettedList"/>
      </w:pPr>
      <w:proofErr w:type="gramStart"/>
      <w:r>
        <w:t>governance</w:t>
      </w:r>
      <w:proofErr w:type="gramEnd"/>
      <w:r>
        <w:t xml:space="preserve"> </w:t>
      </w:r>
      <w:r w:rsidR="008D490E">
        <w:t xml:space="preserve">arrangements </w:t>
      </w:r>
      <w:r w:rsidR="001324B4">
        <w:t xml:space="preserve">for </w:t>
      </w:r>
      <w:r w:rsidR="008D490E">
        <w:t>the implementation;</w:t>
      </w:r>
    </w:p>
    <w:p w14:paraId="059EF3DD" w14:textId="77777777" w:rsidR="008D490E" w:rsidRDefault="008D490E" w:rsidP="008D490E">
      <w:pPr>
        <w:pStyle w:val="BullettedList"/>
      </w:pPr>
      <w:proofErr w:type="gramStart"/>
      <w:r>
        <w:t>terms</w:t>
      </w:r>
      <w:proofErr w:type="gramEnd"/>
      <w:r>
        <w:t xml:space="preserve"> and conditions of primary and secondary capacity contracts and standardisation to ensure effective trading;</w:t>
      </w:r>
    </w:p>
    <w:p w14:paraId="0351DF63" w14:textId="0ECA1F79" w:rsidR="004759F3" w:rsidRDefault="008D490E" w:rsidP="008D490E">
      <w:pPr>
        <w:pStyle w:val="BullettedList"/>
      </w:pPr>
      <w:proofErr w:type="gramStart"/>
      <w:r>
        <w:t>operation</w:t>
      </w:r>
      <w:proofErr w:type="gramEnd"/>
      <w:r>
        <w:t xml:space="preserve"> of the capacity trading platform(s) </w:t>
      </w:r>
    </w:p>
    <w:p w14:paraId="7B261462" w14:textId="4CB864B5" w:rsidR="008D490E" w:rsidRDefault="008D490E" w:rsidP="008D490E">
      <w:pPr>
        <w:pStyle w:val="BullettedList"/>
      </w:pPr>
      <w:proofErr w:type="gramStart"/>
      <w:r>
        <w:t>operation</w:t>
      </w:r>
      <w:proofErr w:type="gramEnd"/>
      <w:r>
        <w:t xml:space="preserve"> of the auction for un-nominated capacity </w:t>
      </w:r>
    </w:p>
    <w:p w14:paraId="7EE8F2FA" w14:textId="699793F4" w:rsidR="008D490E" w:rsidRDefault="008D490E" w:rsidP="008D490E">
      <w:pPr>
        <w:pStyle w:val="BullettedList"/>
      </w:pPr>
      <w:proofErr w:type="gramStart"/>
      <w:r>
        <w:t>information</w:t>
      </w:r>
      <w:proofErr w:type="gramEnd"/>
      <w:r>
        <w:t xml:space="preserve"> on primary and secondary capacity trades that would be published.</w:t>
      </w:r>
      <w:r>
        <w:rPr>
          <w:rStyle w:val="FootnoteReference"/>
        </w:rPr>
        <w:footnoteReference w:id="5"/>
      </w:r>
      <w:r>
        <w:t xml:space="preserve"> </w:t>
      </w:r>
    </w:p>
    <w:p w14:paraId="4F128DBB" w14:textId="77777777" w:rsidR="001113F3" w:rsidRDefault="001113F3" w:rsidP="001113F3"/>
    <w:p w14:paraId="6EF63156" w14:textId="2FC118EC" w:rsidR="00B21AAE" w:rsidRDefault="009E3B73">
      <w:r>
        <w:t>The discussion paper and PIAC</w:t>
      </w:r>
      <w:r w:rsidR="00A3565E">
        <w:t>’</w:t>
      </w:r>
      <w:r>
        <w:t xml:space="preserve">s </w:t>
      </w:r>
      <w:r w:rsidR="00276ADB">
        <w:t xml:space="preserve">response </w:t>
      </w:r>
      <w:r>
        <w:t xml:space="preserve">are part of an on-going process to create a more effective gas market on the east coast of Australia </w:t>
      </w:r>
      <w:r w:rsidR="00276ADB">
        <w:t xml:space="preserve">in </w:t>
      </w:r>
      <w:r>
        <w:t xml:space="preserve">the long-term interests of consumers. This </w:t>
      </w:r>
      <w:r w:rsidR="00276ADB">
        <w:t xml:space="preserve">objective </w:t>
      </w:r>
      <w:r>
        <w:t xml:space="preserve">should be at the forefront </w:t>
      </w:r>
      <w:r w:rsidR="00276ADB">
        <w:t>in</w:t>
      </w:r>
      <w:r>
        <w:t xml:space="preserve"> any decisions with regard to the development and implementation of market changes.</w:t>
      </w:r>
    </w:p>
    <w:p w14:paraId="1251AD8F" w14:textId="0FE1738C" w:rsidR="00C330B2" w:rsidRDefault="009E3B73" w:rsidP="00282925">
      <w:pPr>
        <w:pStyle w:val="Heading2"/>
      </w:pPr>
      <w:r>
        <w:t xml:space="preserve">Governance arrangements </w:t>
      </w:r>
    </w:p>
    <w:p w14:paraId="1A176DF1" w14:textId="21DEBB85" w:rsidR="009E3B73" w:rsidRPr="009E3B73" w:rsidRDefault="00477DF7" w:rsidP="00FC42AB">
      <w:r>
        <w:t xml:space="preserve">The </w:t>
      </w:r>
      <w:r w:rsidR="00FC42AB">
        <w:t>AEMC has sought feedback on the level of regulation required to ensure the</w:t>
      </w:r>
      <w:r w:rsidR="00A3565E">
        <w:t xml:space="preserve"> effective</w:t>
      </w:r>
      <w:r w:rsidR="00FC42AB">
        <w:t xml:space="preserve"> implementation of the suite of recommendations</w:t>
      </w:r>
      <w:r w:rsidR="00276ADB">
        <w:t xml:space="preserve"> in the Stage 2 report</w:t>
      </w:r>
      <w:r w:rsidR="00FC42AB">
        <w:t xml:space="preserve">. </w:t>
      </w:r>
      <w:r w:rsidR="00A3565E">
        <w:t xml:space="preserve">It </w:t>
      </w:r>
      <w:r w:rsidR="00FC42AB">
        <w:t>consider</w:t>
      </w:r>
      <w:r w:rsidR="00A3565E">
        <w:t>s</w:t>
      </w:r>
      <w:r w:rsidR="00FC42AB">
        <w:t xml:space="preserve"> that the pipeline owners have limited incentive to release un-used capacity and that regulation is required to facilitate trading. Submissions to the Stage 2 report indicated that an industry</w:t>
      </w:r>
      <w:r w:rsidR="00A3565E">
        <w:t>-</w:t>
      </w:r>
      <w:r w:rsidR="00FC42AB">
        <w:t>l</w:t>
      </w:r>
      <w:r w:rsidR="002A5521">
        <w:t>ed approach would be preferable, as industry is best placed to be able to determine the optimal design of the auction and capacity trading platforms. In addition, these submissions argued that an industry</w:t>
      </w:r>
      <w:r w:rsidR="00082CDF">
        <w:t>-</w:t>
      </w:r>
      <w:r w:rsidR="002A5521">
        <w:t>led approach would be faster to implement</w:t>
      </w:r>
      <w:r w:rsidR="00082CDF">
        <w:t>, because</w:t>
      </w:r>
      <w:r w:rsidR="002A5521">
        <w:t xml:space="preserve"> a regulatory approach </w:t>
      </w:r>
      <w:r w:rsidR="00082CDF">
        <w:t xml:space="preserve">would </w:t>
      </w:r>
      <w:r w:rsidR="002A5521">
        <w:t>require rule and law changes</w:t>
      </w:r>
      <w:r w:rsidR="00082CDF">
        <w:t>,</w:t>
      </w:r>
      <w:r w:rsidR="002A5521">
        <w:t xml:space="preserve"> and that a regulatory approach would ‘stifle innovation and investment’.</w:t>
      </w:r>
      <w:r w:rsidR="002A5521">
        <w:rPr>
          <w:rStyle w:val="FootnoteReference"/>
        </w:rPr>
        <w:footnoteReference w:id="6"/>
      </w:r>
      <w:r w:rsidR="002A5521">
        <w:t xml:space="preserve">  </w:t>
      </w:r>
    </w:p>
    <w:p w14:paraId="66649552" w14:textId="77777777" w:rsidR="008C06C5" w:rsidRPr="008C06C5" w:rsidRDefault="008C06C5" w:rsidP="008C06C5"/>
    <w:p w14:paraId="627BEFDC" w14:textId="4FF37B89" w:rsidR="00C330B2" w:rsidRDefault="009B0BBD">
      <w:r>
        <w:t xml:space="preserve">In response to this, </w:t>
      </w:r>
      <w:r w:rsidR="00477DF7">
        <w:t xml:space="preserve">the </w:t>
      </w:r>
      <w:r>
        <w:t>AEMC</w:t>
      </w:r>
      <w:r w:rsidR="00082CDF">
        <w:t xml:space="preserve"> stated:</w:t>
      </w:r>
      <w:r>
        <w:t xml:space="preserve"> </w:t>
      </w:r>
    </w:p>
    <w:p w14:paraId="26048CC6" w14:textId="77777777" w:rsidR="00E51E2C" w:rsidRDefault="00E51E2C"/>
    <w:p w14:paraId="7B04F3E8" w14:textId="3AE5D34E" w:rsidR="009B0BBD" w:rsidRDefault="009B0BBD" w:rsidP="009B0BBD">
      <w:pPr>
        <w:pStyle w:val="Quote"/>
      </w:pPr>
      <w:r>
        <w:t xml:space="preserve">… </w:t>
      </w:r>
      <w:proofErr w:type="gramStart"/>
      <w:r>
        <w:t>given</w:t>
      </w:r>
      <w:proofErr w:type="gramEnd"/>
      <w:r>
        <w:t xml:space="preserve"> that there have been few barriers to date to industry-led initiatives in this space, and these have not progressed, the Commission remains concerned that an approach absent sufficient regulatory oversight may not lead to efficient or timely outcomes. </w:t>
      </w:r>
    </w:p>
    <w:p w14:paraId="47ADAB81" w14:textId="4D083C05" w:rsidR="00C330B2" w:rsidRDefault="009B0BBD" w:rsidP="009B0BBD">
      <w:r>
        <w:t xml:space="preserve">PIAC </w:t>
      </w:r>
      <w:r w:rsidR="00082CDF">
        <w:t xml:space="preserve">shares </w:t>
      </w:r>
      <w:r w:rsidR="00477DF7">
        <w:t xml:space="preserve">the </w:t>
      </w:r>
      <w:r w:rsidR="00082CDF">
        <w:t xml:space="preserve">AEMC’s concerns about </w:t>
      </w:r>
      <w:r>
        <w:t>an industry</w:t>
      </w:r>
      <w:r w:rsidR="00082CDF">
        <w:t>-</w:t>
      </w:r>
      <w:r>
        <w:t>led approach and urge</w:t>
      </w:r>
      <w:r w:rsidR="00082CDF">
        <w:t>s</w:t>
      </w:r>
      <w:r>
        <w:t xml:space="preserve"> </w:t>
      </w:r>
      <w:r w:rsidR="00E524BE">
        <w:t xml:space="preserve">AEMC </w:t>
      </w:r>
      <w:r>
        <w:t xml:space="preserve">to </w:t>
      </w:r>
      <w:r w:rsidR="00EF4298">
        <w:t xml:space="preserve">implement effective regulation to ensure this process proceeds with the long-term interest of the consumers at the forefront </w:t>
      </w:r>
      <w:r w:rsidR="00082CDF">
        <w:t xml:space="preserve">of decision-making, as opposed to adopting an </w:t>
      </w:r>
      <w:r w:rsidR="00EF4298">
        <w:t>industry</w:t>
      </w:r>
      <w:r w:rsidR="00082CDF">
        <w:t>-focus</w:t>
      </w:r>
      <w:r w:rsidR="00E524BE">
        <w:t xml:space="preserve">. This would ensure that the process is in line with </w:t>
      </w:r>
      <w:r w:rsidR="00EF4298">
        <w:t>the National Gas Objective</w:t>
      </w:r>
      <w:r w:rsidR="00AC6A8F">
        <w:t>, which is to</w:t>
      </w:r>
      <w:r w:rsidR="00EF4298">
        <w:t>:</w:t>
      </w:r>
    </w:p>
    <w:p w14:paraId="78066A03" w14:textId="77777777" w:rsidR="00EF4298" w:rsidRDefault="00EF4298" w:rsidP="009B0BBD"/>
    <w:p w14:paraId="510D1B23" w14:textId="1F79E5F1" w:rsidR="00C330B2" w:rsidRDefault="00473080" w:rsidP="00EF4298">
      <w:pPr>
        <w:pStyle w:val="Quote"/>
        <w:rPr>
          <w:lang w:val="en-US"/>
        </w:rPr>
      </w:pPr>
      <w:r>
        <w:rPr>
          <w:lang w:val="en-US"/>
        </w:rPr>
        <w:t>…</w:t>
      </w:r>
      <w:proofErr w:type="gramStart"/>
      <w:r w:rsidR="00EF4298" w:rsidRPr="00EF4298">
        <w:rPr>
          <w:lang w:val="en-US"/>
        </w:rPr>
        <w:t>promote</w:t>
      </w:r>
      <w:proofErr w:type="gramEnd"/>
      <w:r w:rsidR="00EF4298" w:rsidRPr="00EF4298">
        <w:rPr>
          <w:lang w:val="en-US"/>
        </w:rPr>
        <w:t xml:space="preserve"> efficient investment in, and efficient operation and use of natural gas services for the </w:t>
      </w:r>
      <w:r w:rsidR="00EF4298" w:rsidRPr="00477DF7">
        <w:rPr>
          <w:b/>
          <w:lang w:val="en-US"/>
        </w:rPr>
        <w:t>long term interest of consumers of natural gas</w:t>
      </w:r>
      <w:r w:rsidR="00EF4298" w:rsidRPr="00EF4298">
        <w:rPr>
          <w:lang w:val="en-US"/>
        </w:rPr>
        <w:t xml:space="preserve"> with respect to price, quality, safety, reliability and se</w:t>
      </w:r>
      <w:r w:rsidR="00EF4298">
        <w:rPr>
          <w:lang w:val="en-US"/>
        </w:rPr>
        <w:t>curity of supply of natural gas</w:t>
      </w:r>
      <w:r w:rsidR="009B095F">
        <w:rPr>
          <w:lang w:val="en-US"/>
        </w:rPr>
        <w:t>.</w:t>
      </w:r>
      <w:r w:rsidR="00477DF7">
        <w:rPr>
          <w:lang w:val="en-US"/>
        </w:rPr>
        <w:t xml:space="preserve"> [</w:t>
      </w:r>
      <w:proofErr w:type="gramStart"/>
      <w:r w:rsidR="00477DF7">
        <w:rPr>
          <w:lang w:val="en-US"/>
        </w:rPr>
        <w:t>emphasis</w:t>
      </w:r>
      <w:proofErr w:type="gramEnd"/>
      <w:r w:rsidR="00477DF7">
        <w:rPr>
          <w:lang w:val="en-US"/>
        </w:rPr>
        <w:t xml:space="preserve"> added]</w:t>
      </w:r>
    </w:p>
    <w:p w14:paraId="7E9CE14D" w14:textId="77777777" w:rsidR="00EF4298" w:rsidRDefault="00EF4298" w:rsidP="00EF4298"/>
    <w:p w14:paraId="637C4167" w14:textId="17187F77" w:rsidR="00EF4298" w:rsidRDefault="005F03E5" w:rsidP="00EF4298">
      <w:r>
        <w:t xml:space="preserve">The chairman of the Australian Competition and Consumer Commission </w:t>
      </w:r>
      <w:r w:rsidR="00473080">
        <w:t xml:space="preserve">(ACCC) </w:t>
      </w:r>
      <w:r>
        <w:t xml:space="preserve">has </w:t>
      </w:r>
      <w:r w:rsidR="00477DF7">
        <w:t xml:space="preserve">recently </w:t>
      </w:r>
      <w:r>
        <w:t xml:space="preserve">indicated concern that </w:t>
      </w:r>
      <w:r w:rsidR="00477DF7">
        <w:t xml:space="preserve">current </w:t>
      </w:r>
      <w:r w:rsidR="006237CC">
        <w:t xml:space="preserve">regulation of the </w:t>
      </w:r>
      <w:r>
        <w:t>gas pipeline is insufficient</w:t>
      </w:r>
      <w:r w:rsidR="006237CC">
        <w:t>,</w:t>
      </w:r>
      <w:r>
        <w:t xml:space="preserve"> and that the t</w:t>
      </w:r>
      <w:r w:rsidR="006237CC">
        <w:t>h</w:t>
      </w:r>
      <w:r>
        <w:t xml:space="preserve">reat of regulation is not enough to ensure effective operation of this system. In addition, he raised concerns that the market is dominated by only a handful of pipeline owners and that </w:t>
      </w:r>
      <w:r w:rsidR="003766CC">
        <w:t>in these market conditions regulation is required.</w:t>
      </w:r>
      <w:r w:rsidR="003766CC">
        <w:rPr>
          <w:rStyle w:val="FootnoteReference"/>
        </w:rPr>
        <w:footnoteReference w:id="7"/>
      </w:r>
      <w:r w:rsidR="003766CC">
        <w:t xml:space="preserve"> </w:t>
      </w:r>
    </w:p>
    <w:p w14:paraId="7ED6FDBB" w14:textId="77777777" w:rsidR="00C330B2" w:rsidRDefault="00C330B2"/>
    <w:p w14:paraId="17175836" w14:textId="7115402D" w:rsidR="004F090E" w:rsidRDefault="00477DF7">
      <w:pPr>
        <w:rPr>
          <w:lang w:val="en-US"/>
        </w:rPr>
      </w:pPr>
      <w:r>
        <w:rPr>
          <w:lang w:val="en-US"/>
        </w:rPr>
        <w:t xml:space="preserve">The </w:t>
      </w:r>
      <w:r w:rsidR="00F61B95">
        <w:rPr>
          <w:lang w:val="en-US"/>
        </w:rPr>
        <w:t xml:space="preserve">AEMC has outlined </w:t>
      </w:r>
      <w:r w:rsidR="000A1F02">
        <w:rPr>
          <w:lang w:val="en-US"/>
        </w:rPr>
        <w:t xml:space="preserve">a spectrum of </w:t>
      </w:r>
      <w:r w:rsidR="006237CC">
        <w:rPr>
          <w:lang w:val="en-US"/>
        </w:rPr>
        <w:t xml:space="preserve">possible </w:t>
      </w:r>
      <w:r w:rsidR="000A1F02">
        <w:rPr>
          <w:lang w:val="en-US"/>
        </w:rPr>
        <w:t>governance arrangements</w:t>
      </w:r>
      <w:r w:rsidR="00DE7D46">
        <w:rPr>
          <w:lang w:val="en-US"/>
        </w:rPr>
        <w:t>,</w:t>
      </w:r>
      <w:r w:rsidR="000A1F02">
        <w:rPr>
          <w:lang w:val="en-US"/>
        </w:rPr>
        <w:t xml:space="preserve"> from no regulation through to the standard law and rule change process. One </w:t>
      </w:r>
      <w:r>
        <w:rPr>
          <w:lang w:val="en-US"/>
        </w:rPr>
        <w:t xml:space="preserve">option </w:t>
      </w:r>
      <w:r w:rsidR="00D87638">
        <w:rPr>
          <w:lang w:val="en-US"/>
        </w:rPr>
        <w:t>within that spectrum</w:t>
      </w:r>
      <w:r w:rsidR="00DE7D46">
        <w:rPr>
          <w:lang w:val="en-US"/>
        </w:rPr>
        <w:t xml:space="preserve"> </w:t>
      </w:r>
      <w:r w:rsidR="00D87638">
        <w:rPr>
          <w:lang w:val="en-US"/>
        </w:rPr>
        <w:t>is</w:t>
      </w:r>
      <w:r w:rsidR="000A1F02">
        <w:rPr>
          <w:lang w:val="en-US"/>
        </w:rPr>
        <w:t xml:space="preserve"> the development of </w:t>
      </w:r>
      <w:proofErr w:type="gramStart"/>
      <w:r w:rsidR="000A1F02">
        <w:rPr>
          <w:lang w:val="en-US"/>
        </w:rPr>
        <w:t>an</w:t>
      </w:r>
      <w:r w:rsidR="00BC4A98">
        <w:rPr>
          <w:lang w:val="en-US"/>
        </w:rPr>
        <w:t xml:space="preserve"> </w:t>
      </w:r>
      <w:r w:rsidR="000A1F02">
        <w:rPr>
          <w:lang w:val="en-US"/>
        </w:rPr>
        <w:t>Industry</w:t>
      </w:r>
      <w:proofErr w:type="gramEnd"/>
      <w:r w:rsidR="000A1F02">
        <w:rPr>
          <w:lang w:val="en-US"/>
        </w:rPr>
        <w:t xml:space="preserve"> Council to </w:t>
      </w:r>
      <w:r w:rsidR="002D2BE4">
        <w:rPr>
          <w:lang w:val="en-US"/>
        </w:rPr>
        <w:t xml:space="preserve">coordinate and </w:t>
      </w:r>
      <w:r w:rsidR="000A1F02">
        <w:rPr>
          <w:lang w:val="en-US"/>
        </w:rPr>
        <w:t>determine the standards and implementation of the reform agenda.</w:t>
      </w:r>
      <w:r w:rsidR="0087072F">
        <w:rPr>
          <w:lang w:val="en-US"/>
        </w:rPr>
        <w:t xml:space="preserve"> </w:t>
      </w:r>
      <w:r>
        <w:rPr>
          <w:lang w:val="en-US"/>
        </w:rPr>
        <w:t xml:space="preserve">The </w:t>
      </w:r>
      <w:r w:rsidR="00DE7D46">
        <w:rPr>
          <w:lang w:val="en-US"/>
        </w:rPr>
        <w:t xml:space="preserve">AEMC </w:t>
      </w:r>
      <w:r w:rsidR="00A91EF4">
        <w:rPr>
          <w:lang w:val="en-US"/>
        </w:rPr>
        <w:t xml:space="preserve">states that </w:t>
      </w:r>
      <w:r w:rsidR="00F36121">
        <w:rPr>
          <w:lang w:val="en-US"/>
        </w:rPr>
        <w:t xml:space="preserve">a process with more industry involvement </w:t>
      </w:r>
      <w:r w:rsidR="0087072F">
        <w:rPr>
          <w:lang w:val="en-US"/>
        </w:rPr>
        <w:t xml:space="preserve">would provide an opportunity for industry members to be involved in the </w:t>
      </w:r>
      <w:proofErr w:type="gramStart"/>
      <w:r w:rsidR="0087072F">
        <w:rPr>
          <w:lang w:val="en-US"/>
        </w:rPr>
        <w:t>decision</w:t>
      </w:r>
      <w:r>
        <w:rPr>
          <w:lang w:val="en-US"/>
        </w:rPr>
        <w:t xml:space="preserve"> </w:t>
      </w:r>
      <w:r w:rsidR="0087072F">
        <w:rPr>
          <w:lang w:val="en-US"/>
        </w:rPr>
        <w:t>making</w:t>
      </w:r>
      <w:proofErr w:type="gramEnd"/>
      <w:r w:rsidR="0087072F">
        <w:rPr>
          <w:lang w:val="en-US"/>
        </w:rPr>
        <w:t>.</w:t>
      </w:r>
      <w:r w:rsidR="00E109E1">
        <w:rPr>
          <w:rStyle w:val="FootnoteReference"/>
          <w:lang w:val="en-US"/>
        </w:rPr>
        <w:footnoteReference w:id="8"/>
      </w:r>
      <w:r w:rsidR="0087072F">
        <w:rPr>
          <w:lang w:val="en-US"/>
        </w:rPr>
        <w:t xml:space="preserve"> PIAC </w:t>
      </w:r>
      <w:r w:rsidR="00F76FB0">
        <w:rPr>
          <w:lang w:val="en-US"/>
        </w:rPr>
        <w:t xml:space="preserve">is of the view </w:t>
      </w:r>
      <w:r w:rsidR="0087072F">
        <w:rPr>
          <w:lang w:val="en-US"/>
        </w:rPr>
        <w:t>that industry already has a voice in decision making through the consultation process during a rule change or market review.</w:t>
      </w:r>
      <w:r w:rsidR="00ED38FA">
        <w:rPr>
          <w:rStyle w:val="FootnoteReference"/>
          <w:lang w:val="en-US"/>
        </w:rPr>
        <w:footnoteReference w:id="9"/>
      </w:r>
      <w:r w:rsidR="0087072F">
        <w:rPr>
          <w:lang w:val="en-US"/>
        </w:rPr>
        <w:t xml:space="preserve"> </w:t>
      </w:r>
    </w:p>
    <w:p w14:paraId="0FE380AD" w14:textId="77777777" w:rsidR="004F090E" w:rsidRDefault="004F090E">
      <w:pPr>
        <w:rPr>
          <w:lang w:val="en-US"/>
        </w:rPr>
      </w:pPr>
    </w:p>
    <w:p w14:paraId="4D6C6837" w14:textId="1D0EBB66" w:rsidR="00527A9F" w:rsidRDefault="004F090E">
      <w:pPr>
        <w:rPr>
          <w:lang w:val="en-US"/>
        </w:rPr>
      </w:pPr>
      <w:r>
        <w:rPr>
          <w:lang w:val="en-US"/>
        </w:rPr>
        <w:t xml:space="preserve">Further, </w:t>
      </w:r>
      <w:r w:rsidR="006D2A46">
        <w:rPr>
          <w:lang w:val="en-US"/>
        </w:rPr>
        <w:t xml:space="preserve">the </w:t>
      </w:r>
      <w:r w:rsidR="002D2BE4">
        <w:rPr>
          <w:lang w:val="en-US"/>
        </w:rPr>
        <w:t>AEMC</w:t>
      </w:r>
      <w:r w:rsidR="00212830">
        <w:rPr>
          <w:lang w:val="en-US"/>
        </w:rPr>
        <w:t>,</w:t>
      </w:r>
      <w:r w:rsidR="002D2BE4">
        <w:rPr>
          <w:lang w:val="en-US"/>
        </w:rPr>
        <w:t xml:space="preserve"> and </w:t>
      </w:r>
      <w:r w:rsidR="00D23060">
        <w:rPr>
          <w:lang w:val="en-US"/>
        </w:rPr>
        <w:t>possibly other</w:t>
      </w:r>
      <w:r w:rsidR="002D2BE4">
        <w:rPr>
          <w:lang w:val="en-US"/>
        </w:rPr>
        <w:t xml:space="preserve"> government </w:t>
      </w:r>
      <w:r w:rsidR="00D23060">
        <w:rPr>
          <w:lang w:val="en-US"/>
        </w:rPr>
        <w:t>departments</w:t>
      </w:r>
      <w:r w:rsidR="00212830">
        <w:rPr>
          <w:lang w:val="en-US"/>
        </w:rPr>
        <w:t>,</w:t>
      </w:r>
      <w:r w:rsidR="00D23060">
        <w:rPr>
          <w:lang w:val="en-US"/>
        </w:rPr>
        <w:t xml:space="preserve"> would potentially </w:t>
      </w:r>
      <w:r w:rsidR="00EA0714">
        <w:rPr>
          <w:lang w:val="en-US"/>
        </w:rPr>
        <w:t>participate</w:t>
      </w:r>
      <w:r w:rsidR="00D23060">
        <w:rPr>
          <w:lang w:val="en-US"/>
        </w:rPr>
        <w:t xml:space="preserve"> in and </w:t>
      </w:r>
      <w:r w:rsidR="007F6872">
        <w:rPr>
          <w:lang w:val="en-US"/>
        </w:rPr>
        <w:t>have</w:t>
      </w:r>
      <w:r>
        <w:rPr>
          <w:lang w:val="en-US"/>
        </w:rPr>
        <w:t xml:space="preserve"> the role of </w:t>
      </w:r>
      <w:proofErr w:type="gramStart"/>
      <w:r>
        <w:rPr>
          <w:lang w:val="en-US"/>
        </w:rPr>
        <w:t xml:space="preserve">an </w:t>
      </w:r>
      <w:r w:rsidR="007F6872">
        <w:rPr>
          <w:lang w:val="en-US"/>
        </w:rPr>
        <w:t>‘</w:t>
      </w:r>
      <w:r w:rsidR="00D23060">
        <w:rPr>
          <w:lang w:val="en-US"/>
        </w:rPr>
        <w:t>observer</w:t>
      </w:r>
      <w:r w:rsidR="007F6872">
        <w:rPr>
          <w:lang w:val="en-US"/>
        </w:rPr>
        <w:t>’</w:t>
      </w:r>
      <w:proofErr w:type="gramEnd"/>
      <w:r w:rsidR="00D23060">
        <w:rPr>
          <w:lang w:val="en-US"/>
        </w:rPr>
        <w:t xml:space="preserve"> in the council.</w:t>
      </w:r>
      <w:r w:rsidR="00D23060">
        <w:rPr>
          <w:rStyle w:val="FootnoteReference"/>
          <w:lang w:val="en-US"/>
        </w:rPr>
        <w:footnoteReference w:id="10"/>
      </w:r>
      <w:r w:rsidR="00D23060">
        <w:rPr>
          <w:lang w:val="en-US"/>
        </w:rPr>
        <w:t xml:space="preserve"> </w:t>
      </w:r>
      <w:r w:rsidR="00EA0714">
        <w:rPr>
          <w:lang w:val="en-US"/>
        </w:rPr>
        <w:t>PIAC is cautious of this approach, as this still relies on the ‘t</w:t>
      </w:r>
      <w:r>
        <w:rPr>
          <w:lang w:val="en-US"/>
        </w:rPr>
        <w:t>h</w:t>
      </w:r>
      <w:r w:rsidR="00EA0714">
        <w:rPr>
          <w:lang w:val="en-US"/>
        </w:rPr>
        <w:t xml:space="preserve">reat’ of regulation </w:t>
      </w:r>
      <w:r w:rsidR="00F36121">
        <w:rPr>
          <w:lang w:val="en-US"/>
        </w:rPr>
        <w:t xml:space="preserve">as observed by the AEMC in the discussion paper, </w:t>
      </w:r>
      <w:r w:rsidR="00EA0714">
        <w:rPr>
          <w:lang w:val="en-US"/>
        </w:rPr>
        <w:t xml:space="preserve">rather than actual regulation. In addition, </w:t>
      </w:r>
      <w:r w:rsidR="006D2A46">
        <w:rPr>
          <w:lang w:val="en-US"/>
        </w:rPr>
        <w:t xml:space="preserve">the </w:t>
      </w:r>
      <w:r w:rsidR="00EA0714">
        <w:rPr>
          <w:lang w:val="en-US"/>
        </w:rPr>
        <w:t>AEMC notes that if rules and laws do require changes</w:t>
      </w:r>
      <w:r w:rsidR="00C70AA3">
        <w:rPr>
          <w:lang w:val="en-US"/>
        </w:rPr>
        <w:t xml:space="preserve"> with</w:t>
      </w:r>
      <w:r w:rsidR="00F76FB0">
        <w:rPr>
          <w:lang w:val="en-US"/>
        </w:rPr>
        <w:t>in</w:t>
      </w:r>
      <w:r w:rsidR="00C70AA3">
        <w:rPr>
          <w:lang w:val="en-US"/>
        </w:rPr>
        <w:t xml:space="preserve"> the industry-led approach, </w:t>
      </w:r>
      <w:r w:rsidR="00EA0714">
        <w:rPr>
          <w:lang w:val="en-US"/>
        </w:rPr>
        <w:t xml:space="preserve">this may slow the process beyond what would have taken place if </w:t>
      </w:r>
      <w:r w:rsidR="000D4969">
        <w:rPr>
          <w:lang w:val="en-US"/>
        </w:rPr>
        <w:t>a regulation</w:t>
      </w:r>
      <w:r w:rsidR="00C70AA3">
        <w:rPr>
          <w:lang w:val="en-US"/>
        </w:rPr>
        <w:t>-</w:t>
      </w:r>
      <w:r w:rsidR="000D4969">
        <w:rPr>
          <w:lang w:val="en-US"/>
        </w:rPr>
        <w:t xml:space="preserve">led approach had been adopted. </w:t>
      </w:r>
    </w:p>
    <w:p w14:paraId="7C08E545" w14:textId="77777777" w:rsidR="00527A9F" w:rsidRDefault="00527A9F">
      <w:pPr>
        <w:rPr>
          <w:lang w:val="en-US"/>
        </w:rPr>
      </w:pPr>
    </w:p>
    <w:p w14:paraId="1FE0A128" w14:textId="0177EEEA" w:rsidR="00C330B2" w:rsidRDefault="00527A9F">
      <w:pPr>
        <w:rPr>
          <w:lang w:val="en-US"/>
        </w:rPr>
      </w:pPr>
      <w:r>
        <w:rPr>
          <w:lang w:val="en-US"/>
        </w:rPr>
        <w:t xml:space="preserve">Overall, </w:t>
      </w:r>
      <w:r w:rsidR="000C4E21">
        <w:rPr>
          <w:lang w:val="en-US"/>
        </w:rPr>
        <w:t xml:space="preserve">while it is not PIAC’s preferred approach, </w:t>
      </w:r>
      <w:r>
        <w:rPr>
          <w:lang w:val="en-US"/>
        </w:rPr>
        <w:t>it is PIAC’s view that, i</w:t>
      </w:r>
      <w:r w:rsidR="000D4969">
        <w:rPr>
          <w:lang w:val="en-US"/>
        </w:rPr>
        <w:t xml:space="preserve">f </w:t>
      </w:r>
      <w:r>
        <w:rPr>
          <w:lang w:val="en-US"/>
        </w:rPr>
        <w:t xml:space="preserve">the option of </w:t>
      </w:r>
      <w:proofErr w:type="gramStart"/>
      <w:r w:rsidR="000D4969">
        <w:rPr>
          <w:lang w:val="en-US"/>
        </w:rPr>
        <w:t>an</w:t>
      </w:r>
      <w:r w:rsidR="006D2A46">
        <w:rPr>
          <w:lang w:val="en-US"/>
        </w:rPr>
        <w:t xml:space="preserve"> </w:t>
      </w:r>
      <w:r w:rsidR="000D4969">
        <w:rPr>
          <w:lang w:val="en-US"/>
        </w:rPr>
        <w:t>Industry</w:t>
      </w:r>
      <w:proofErr w:type="gramEnd"/>
      <w:r w:rsidR="000D4969">
        <w:rPr>
          <w:lang w:val="en-US"/>
        </w:rPr>
        <w:t xml:space="preserve"> Council is adopted</w:t>
      </w:r>
      <w:r w:rsidR="00132C0B">
        <w:rPr>
          <w:lang w:val="en-US"/>
        </w:rPr>
        <w:t xml:space="preserve">, </w:t>
      </w:r>
      <w:r>
        <w:rPr>
          <w:lang w:val="en-US"/>
        </w:rPr>
        <w:t xml:space="preserve">there should be </w:t>
      </w:r>
      <w:r w:rsidR="000D4969">
        <w:rPr>
          <w:lang w:val="en-US"/>
        </w:rPr>
        <w:t>consumer representatives on the council</w:t>
      </w:r>
      <w:r w:rsidR="00494CE5">
        <w:rPr>
          <w:lang w:val="en-US"/>
        </w:rPr>
        <w:t xml:space="preserve"> in order to counter the potential for </w:t>
      </w:r>
      <w:r w:rsidR="00E5671F">
        <w:rPr>
          <w:lang w:val="en-US"/>
        </w:rPr>
        <w:t xml:space="preserve">imbalance and </w:t>
      </w:r>
      <w:r w:rsidR="00494CE5">
        <w:rPr>
          <w:lang w:val="en-US"/>
        </w:rPr>
        <w:t>industry bias</w:t>
      </w:r>
      <w:r w:rsidR="006D2A46">
        <w:rPr>
          <w:lang w:val="en-US"/>
        </w:rPr>
        <w:t>.</w:t>
      </w:r>
    </w:p>
    <w:p w14:paraId="07932D23" w14:textId="77777777" w:rsidR="00C330B2" w:rsidRDefault="00C330B2">
      <w:pPr>
        <w:rPr>
          <w:lang w:val="en-US"/>
        </w:rPr>
      </w:pPr>
    </w:p>
    <w:p w14:paraId="4BECE648" w14:textId="3CD4160D" w:rsidR="00C330B2" w:rsidRDefault="006D2A46" w:rsidP="000D4969">
      <w:pPr>
        <w:rPr>
          <w:lang w:val="en-US"/>
        </w:rPr>
      </w:pPr>
      <w:r>
        <w:rPr>
          <w:lang w:val="en-US"/>
        </w:rPr>
        <w:t xml:space="preserve">The </w:t>
      </w:r>
      <w:r w:rsidR="00C81743">
        <w:rPr>
          <w:lang w:val="en-US"/>
        </w:rPr>
        <w:t>AEMC</w:t>
      </w:r>
      <w:r w:rsidR="000D4969">
        <w:rPr>
          <w:lang w:val="en-US"/>
        </w:rPr>
        <w:t xml:space="preserve"> has</w:t>
      </w:r>
      <w:r w:rsidR="00C81743">
        <w:rPr>
          <w:lang w:val="en-US"/>
        </w:rPr>
        <w:t xml:space="preserve"> also</w:t>
      </w:r>
      <w:r w:rsidR="000D4969">
        <w:rPr>
          <w:lang w:val="en-US"/>
        </w:rPr>
        <w:t xml:space="preserve"> requested feedback on how to weigh the benefits and disadvantages of the different approaches</w:t>
      </w:r>
      <w:r w:rsidR="00834D70">
        <w:rPr>
          <w:lang w:val="en-US"/>
        </w:rPr>
        <w:t xml:space="preserve">. </w:t>
      </w:r>
      <w:r w:rsidR="000D4969">
        <w:rPr>
          <w:lang w:val="en-US"/>
        </w:rPr>
        <w:t>PIAC reiterates that a regulation</w:t>
      </w:r>
      <w:r w:rsidR="00097929">
        <w:rPr>
          <w:lang w:val="en-US"/>
        </w:rPr>
        <w:t>-</w:t>
      </w:r>
      <w:r w:rsidR="000D4969">
        <w:rPr>
          <w:lang w:val="en-US"/>
        </w:rPr>
        <w:t xml:space="preserve">led approach would provide greater benefit and certainty for consumers and </w:t>
      </w:r>
      <w:r>
        <w:rPr>
          <w:lang w:val="en-US"/>
        </w:rPr>
        <w:t xml:space="preserve">recommends that the </w:t>
      </w:r>
      <w:r w:rsidR="00097929">
        <w:rPr>
          <w:lang w:val="en-US"/>
        </w:rPr>
        <w:t xml:space="preserve">AEMC </w:t>
      </w:r>
      <w:r w:rsidR="000D4969">
        <w:rPr>
          <w:lang w:val="en-US"/>
        </w:rPr>
        <w:t xml:space="preserve">weigh these approaches </w:t>
      </w:r>
      <w:r w:rsidR="00097929">
        <w:rPr>
          <w:lang w:val="en-US"/>
        </w:rPr>
        <w:t xml:space="preserve">based on </w:t>
      </w:r>
      <w:r w:rsidR="000D4969">
        <w:rPr>
          <w:lang w:val="en-US"/>
        </w:rPr>
        <w:t xml:space="preserve">the long-term interests of consumers. </w:t>
      </w:r>
    </w:p>
    <w:p w14:paraId="0BD625D1" w14:textId="680A2F4C" w:rsidR="005A5691" w:rsidRDefault="005A5691" w:rsidP="00C330B2">
      <w:pPr>
        <w:pStyle w:val="Recommendation"/>
      </w:pPr>
      <w:r>
        <w:t>Recommendation 1</w:t>
      </w:r>
    </w:p>
    <w:p w14:paraId="689CF259" w14:textId="5026A0E1" w:rsidR="005A5691" w:rsidRPr="005A5691" w:rsidRDefault="005A5691" w:rsidP="005A5691">
      <w:pPr>
        <w:pStyle w:val="Recommendationtext"/>
      </w:pPr>
      <w:r>
        <w:t>PIAC recommends that the AEMC adopt a regulat</w:t>
      </w:r>
      <w:r w:rsidR="0079779C">
        <w:t>ory</w:t>
      </w:r>
      <w:r>
        <w:t xml:space="preserve">-led approach to the reform of capacity trading within the east coast </w:t>
      </w:r>
      <w:r w:rsidR="006D2A46">
        <w:t xml:space="preserve">gas </w:t>
      </w:r>
      <w:r>
        <w:t xml:space="preserve">market. </w:t>
      </w:r>
    </w:p>
    <w:p w14:paraId="3DFD9A60" w14:textId="024AD4E6" w:rsidR="00C330B2" w:rsidRPr="00EC7B6E" w:rsidRDefault="00C330B2" w:rsidP="00C330B2">
      <w:pPr>
        <w:pStyle w:val="Recommendation"/>
      </w:pPr>
      <w:r w:rsidRPr="00EC7B6E">
        <w:t>Recommendation</w:t>
      </w:r>
      <w:r w:rsidR="005A5691">
        <w:t xml:space="preserve"> 2</w:t>
      </w:r>
    </w:p>
    <w:p w14:paraId="49C82B0B" w14:textId="6944A967" w:rsidR="00C330B2" w:rsidRDefault="00486153" w:rsidP="00486153">
      <w:pPr>
        <w:pStyle w:val="Recommendationtext"/>
      </w:pPr>
      <w:r>
        <w:t>PIAC recommends</w:t>
      </w:r>
      <w:r w:rsidR="00D219FB">
        <w:t xml:space="preserve"> </w:t>
      </w:r>
      <w:r w:rsidR="00A87778">
        <w:t xml:space="preserve">that </w:t>
      </w:r>
      <w:r w:rsidR="00F61B95">
        <w:t>consumer representatives should be</w:t>
      </w:r>
      <w:r w:rsidR="00A87778">
        <w:t xml:space="preserve"> </w:t>
      </w:r>
      <w:r w:rsidR="00F61B95">
        <w:t>member</w:t>
      </w:r>
      <w:r w:rsidR="00A87778">
        <w:t>s</w:t>
      </w:r>
      <w:r w:rsidR="00F61B95">
        <w:t xml:space="preserve"> of the </w:t>
      </w:r>
      <w:r w:rsidR="00A87778">
        <w:t xml:space="preserve">Industry Council if the AEMC </w:t>
      </w:r>
      <w:r w:rsidR="00D47E47">
        <w:t>establishes</w:t>
      </w:r>
      <w:r w:rsidR="00A87778">
        <w:t xml:space="preserve"> </w:t>
      </w:r>
      <w:proofErr w:type="gramStart"/>
      <w:r w:rsidR="00A87778">
        <w:t>a</w:t>
      </w:r>
      <w:r w:rsidR="00F341FA">
        <w:t>n</w:t>
      </w:r>
      <w:r w:rsidR="00A87778">
        <w:t xml:space="preserve"> Industry</w:t>
      </w:r>
      <w:proofErr w:type="gramEnd"/>
      <w:r w:rsidR="00A87778">
        <w:t xml:space="preserve"> Council to develop and implement the recommendations</w:t>
      </w:r>
      <w:r w:rsidR="00CC3163">
        <w:t xml:space="preserve">. </w:t>
      </w:r>
    </w:p>
    <w:p w14:paraId="54F81B38" w14:textId="287575B0" w:rsidR="00833D04" w:rsidRDefault="003823BA" w:rsidP="003823BA">
      <w:pPr>
        <w:pStyle w:val="Heading2"/>
      </w:pPr>
      <w:r>
        <w:t>Standardisation of capacity products and contract terms</w:t>
      </w:r>
    </w:p>
    <w:p w14:paraId="3D30AAD1" w14:textId="30A8A3E4" w:rsidR="003823BA" w:rsidRDefault="00A46889" w:rsidP="003823BA">
      <w:r>
        <w:t xml:space="preserve">The </w:t>
      </w:r>
      <w:r w:rsidR="001557DE">
        <w:t xml:space="preserve">AEMC recommends </w:t>
      </w:r>
      <w:r w:rsidR="00946792">
        <w:t>adopting</w:t>
      </w:r>
      <w:r w:rsidR="001557DE">
        <w:t xml:space="preserve"> standard products and contract terms, where applicable, to enhance trading and provide flexibility for delivery and receipt points. </w:t>
      </w:r>
      <w:r w:rsidR="00BE2E9F">
        <w:t>This will contribute to the aim of reducing search and transaction costs and increase the number of market participants.</w:t>
      </w:r>
      <w:r w:rsidR="00BE2E9F">
        <w:rPr>
          <w:rStyle w:val="FootnoteReference"/>
        </w:rPr>
        <w:footnoteReference w:id="11"/>
      </w:r>
      <w:r w:rsidR="00BE2E9F">
        <w:t xml:space="preserve"> There </w:t>
      </w:r>
      <w:proofErr w:type="gramStart"/>
      <w:r w:rsidR="00BE2E9F">
        <w:t>are a number of contract</w:t>
      </w:r>
      <w:proofErr w:type="gramEnd"/>
      <w:r w:rsidR="00BE2E9F">
        <w:t xml:space="preserve"> and product terms that AEMC is seeking feedback on, </w:t>
      </w:r>
      <w:r w:rsidR="00946792">
        <w:t xml:space="preserve">and </w:t>
      </w:r>
      <w:r w:rsidR="00BE2E9F">
        <w:t xml:space="preserve">PIAC will not comment on </w:t>
      </w:r>
      <w:r w:rsidR="0056477F">
        <w:t xml:space="preserve">each individual item, </w:t>
      </w:r>
      <w:r w:rsidR="00256334">
        <w:t xml:space="preserve">but </w:t>
      </w:r>
      <w:r w:rsidR="0056477F">
        <w:t xml:space="preserve">rather </w:t>
      </w:r>
      <w:r w:rsidR="00256334">
        <w:t xml:space="preserve">will </w:t>
      </w:r>
      <w:r>
        <w:t xml:space="preserve">focus </w:t>
      </w:r>
      <w:r w:rsidR="0056477F">
        <w:t xml:space="preserve">on the </w:t>
      </w:r>
      <w:r w:rsidR="004D3A71">
        <w:t>high</w:t>
      </w:r>
      <w:r w:rsidR="00E15400">
        <w:t>-</w:t>
      </w:r>
      <w:r w:rsidR="004D3A71">
        <w:t xml:space="preserve">level </w:t>
      </w:r>
      <w:r w:rsidR="00E15400">
        <w:t xml:space="preserve">issues and </w:t>
      </w:r>
      <w:r>
        <w:t xml:space="preserve">its </w:t>
      </w:r>
      <w:r w:rsidR="004D3A71">
        <w:t xml:space="preserve">concerns </w:t>
      </w:r>
      <w:r w:rsidR="00E15400">
        <w:t>about</w:t>
      </w:r>
      <w:r w:rsidR="004D3A71">
        <w:t xml:space="preserve"> regulation and monitoring. </w:t>
      </w:r>
    </w:p>
    <w:p w14:paraId="3EB0483F" w14:textId="77777777" w:rsidR="00A52E56" w:rsidRDefault="00A52E56" w:rsidP="003823BA"/>
    <w:p w14:paraId="0BD07FC4" w14:textId="75EC309F" w:rsidR="00A52E56" w:rsidRDefault="00A52E56" w:rsidP="003823BA">
      <w:r>
        <w:t xml:space="preserve">In general, PIAC is of the view that it is better to </w:t>
      </w:r>
      <w:r w:rsidR="00EC2FB0">
        <w:t xml:space="preserve">develop </w:t>
      </w:r>
      <w:r>
        <w:t xml:space="preserve">standard terms and conditions for hub services at the same time as </w:t>
      </w:r>
      <w:r w:rsidR="00EC2FB0">
        <w:t xml:space="preserve">developing them </w:t>
      </w:r>
      <w:r>
        <w:t>for</w:t>
      </w:r>
      <w:r w:rsidR="00BE4771">
        <w:t xml:space="preserve"> primary and secondary trading</w:t>
      </w:r>
      <w:r>
        <w:t xml:space="preserve">, </w:t>
      </w:r>
      <w:r w:rsidR="004D40AD">
        <w:t xml:space="preserve">in order </w:t>
      </w:r>
      <w:r>
        <w:t xml:space="preserve">to ensure they are complementary and </w:t>
      </w:r>
      <w:r w:rsidR="00326ED7">
        <w:t xml:space="preserve">that </w:t>
      </w:r>
      <w:r>
        <w:t>there are no conflicts</w:t>
      </w:r>
      <w:r w:rsidR="009B1377">
        <w:t xml:space="preserve">. This </w:t>
      </w:r>
      <w:r w:rsidR="001D3C34">
        <w:t xml:space="preserve">will </w:t>
      </w:r>
      <w:r>
        <w:t xml:space="preserve">ensure </w:t>
      </w:r>
      <w:r w:rsidR="005A5A54">
        <w:t xml:space="preserve">that </w:t>
      </w:r>
      <w:r>
        <w:t xml:space="preserve">the development and implementation of this recommendation is not </w:t>
      </w:r>
      <w:r w:rsidR="001D3C34">
        <w:t xml:space="preserve">unnecessarily </w:t>
      </w:r>
      <w:r>
        <w:t>delayed.</w:t>
      </w:r>
      <w:r w:rsidR="00D96AA6">
        <w:rPr>
          <w:rStyle w:val="FootnoteReference"/>
        </w:rPr>
        <w:footnoteReference w:id="12"/>
      </w:r>
      <w:r>
        <w:t xml:space="preserve"> </w:t>
      </w:r>
    </w:p>
    <w:p w14:paraId="3B603006" w14:textId="77777777" w:rsidR="00F4762F" w:rsidRDefault="00F4762F" w:rsidP="003823BA"/>
    <w:p w14:paraId="741F1FD5" w14:textId="7D4F9EB1" w:rsidR="00F4762F" w:rsidRDefault="00F4762F" w:rsidP="003823BA">
      <w:r>
        <w:t>PIAC supports the adoption of a range of standards for each term</w:t>
      </w:r>
      <w:r w:rsidR="00AC4DF1">
        <w:t>,</w:t>
      </w:r>
      <w:r>
        <w:t xml:space="preserve"> rather than a strict set of standards</w:t>
      </w:r>
      <w:r w:rsidR="00AC4DF1">
        <w:t>,</w:t>
      </w:r>
      <w:r>
        <w:t xml:space="preserve"> to </w:t>
      </w:r>
      <w:r w:rsidR="00A46889">
        <w:t xml:space="preserve">allow </w:t>
      </w:r>
      <w:r>
        <w:t xml:space="preserve">some flexibility for the </w:t>
      </w:r>
      <w:r w:rsidR="00AC4DF1">
        <w:t xml:space="preserve">different </w:t>
      </w:r>
      <w:r>
        <w:t>conditions and variation</w:t>
      </w:r>
      <w:r w:rsidR="00AC4DF1">
        <w:t>s</w:t>
      </w:r>
      <w:r>
        <w:t xml:space="preserve"> </w:t>
      </w:r>
      <w:r w:rsidR="00AC4DF1">
        <w:t xml:space="preserve">in </w:t>
      </w:r>
      <w:r>
        <w:t xml:space="preserve">the market. However, this range should not be so wide as to be ineffective. </w:t>
      </w:r>
      <w:r w:rsidR="00A46889">
        <w:t xml:space="preserve">In PIAC’s view, this is preferable to </w:t>
      </w:r>
      <w:r w:rsidR="004466DC">
        <w:t>allow</w:t>
      </w:r>
      <w:r w:rsidR="00A46889">
        <w:t>ing</w:t>
      </w:r>
      <w:r w:rsidR="0095798E">
        <w:t xml:space="preserve"> </w:t>
      </w:r>
      <w:r>
        <w:t xml:space="preserve">individual shippers and pipelines </w:t>
      </w:r>
      <w:r w:rsidR="00A46889">
        <w:t xml:space="preserve">to </w:t>
      </w:r>
      <w:r>
        <w:t>negotiat</w:t>
      </w:r>
      <w:r w:rsidR="00A46889">
        <w:t>e</w:t>
      </w:r>
      <w:r>
        <w:t xml:space="preserve"> alternatives to the standards, as this seems counter to the aims of standardisation and transparency.</w:t>
      </w:r>
      <w:r w:rsidR="00D96AA6">
        <w:rPr>
          <w:rStyle w:val="FootnoteReference"/>
        </w:rPr>
        <w:footnoteReference w:id="13"/>
      </w:r>
      <w:r>
        <w:t xml:space="preserve"> </w:t>
      </w:r>
    </w:p>
    <w:p w14:paraId="6811EE1E" w14:textId="77777777" w:rsidR="006412A8" w:rsidRDefault="006412A8" w:rsidP="003823BA"/>
    <w:p w14:paraId="3E5CF685" w14:textId="3DB82D37" w:rsidR="00F4762F" w:rsidRDefault="00E54057" w:rsidP="003823BA">
      <w:r>
        <w:t>C</w:t>
      </w:r>
      <w:r w:rsidR="006412A8">
        <w:t>urrently pipeline operators are able to reject a change in delivery point</w:t>
      </w:r>
      <w:r w:rsidR="00D96AA6">
        <w:t xml:space="preserve"> requested by primary capacity holders</w:t>
      </w:r>
      <w:r w:rsidR="006412A8">
        <w:t xml:space="preserve"> for non-technical reasons. PIAC is of the view that pipeline operators should be able to reject changes in delivery receipt points on technical grounds only. This will </w:t>
      </w:r>
      <w:r w:rsidR="00D35BE7">
        <w:t>facilitate f</w:t>
      </w:r>
      <w:r w:rsidR="006412A8">
        <w:t>air access and use of pipelines, not only for firm capacity holders, but those trading capacity.</w:t>
      </w:r>
      <w:r w:rsidR="00D96AA6">
        <w:rPr>
          <w:rStyle w:val="FootnoteReference"/>
        </w:rPr>
        <w:footnoteReference w:id="14"/>
      </w:r>
      <w:r w:rsidR="006412A8">
        <w:t xml:space="preserve"> </w:t>
      </w:r>
    </w:p>
    <w:p w14:paraId="0B9586F5" w14:textId="7FF2639F" w:rsidR="0056477F" w:rsidRDefault="009B29E9" w:rsidP="009B29E9">
      <w:pPr>
        <w:pStyle w:val="Recommendation"/>
      </w:pPr>
      <w:r>
        <w:t>Recommendation 3</w:t>
      </w:r>
    </w:p>
    <w:p w14:paraId="404A17B2" w14:textId="7FF5F3FC" w:rsidR="00A96B9B" w:rsidRDefault="009B29E9" w:rsidP="009B29E9">
      <w:pPr>
        <w:pStyle w:val="Recommendationtext"/>
      </w:pPr>
      <w:r>
        <w:t xml:space="preserve">PIAC recommends that </w:t>
      </w:r>
      <w:r w:rsidR="00AE1C88">
        <w:t xml:space="preserve">standardisation for </w:t>
      </w:r>
      <w:r w:rsidR="00E54057">
        <w:t>hub services are developed</w:t>
      </w:r>
      <w:r w:rsidR="00AE1C88">
        <w:t xml:space="preserve"> at the same</w:t>
      </w:r>
      <w:r w:rsidR="003E3950">
        <w:t xml:space="preserve"> time</w:t>
      </w:r>
      <w:r w:rsidR="00AE1C88">
        <w:t xml:space="preserve"> as both primary and secondary trading to ensure consistency across these services and reduce </w:t>
      </w:r>
      <w:r w:rsidR="00A46889">
        <w:t xml:space="preserve">the </w:t>
      </w:r>
      <w:r w:rsidR="00AE1C88">
        <w:t xml:space="preserve">potential for delays. </w:t>
      </w:r>
    </w:p>
    <w:p w14:paraId="757BEA7E" w14:textId="5BB272E5" w:rsidR="00A96B9B" w:rsidRDefault="00A96B9B" w:rsidP="00A96B9B">
      <w:pPr>
        <w:pStyle w:val="Recommendation"/>
      </w:pPr>
      <w:r>
        <w:t>Recommendation 4</w:t>
      </w:r>
    </w:p>
    <w:p w14:paraId="2DDE36B5" w14:textId="74109957" w:rsidR="00AE1C88" w:rsidRPr="00AE1C88" w:rsidRDefault="00E54057" w:rsidP="00AE1C88">
      <w:pPr>
        <w:pStyle w:val="Recommendationtext"/>
      </w:pPr>
      <w:r>
        <w:t xml:space="preserve">PIAC recommends that pipeline owners </w:t>
      </w:r>
      <w:r w:rsidR="000C0717">
        <w:t>not be</w:t>
      </w:r>
      <w:r>
        <w:t xml:space="preserve"> allowed to reject changes in receipt delivery points for non-technical reasons. </w:t>
      </w:r>
    </w:p>
    <w:p w14:paraId="6136A948" w14:textId="56DAC82D" w:rsidR="00C330B2" w:rsidRDefault="00411F03" w:rsidP="00411F03">
      <w:pPr>
        <w:pStyle w:val="Heading2"/>
      </w:pPr>
      <w:r>
        <w:t xml:space="preserve">Capacity trading platform </w:t>
      </w:r>
    </w:p>
    <w:p w14:paraId="261CF2D8" w14:textId="199E043C" w:rsidR="00411F03" w:rsidRDefault="00A46889" w:rsidP="00411F03">
      <w:r>
        <w:t xml:space="preserve">The </w:t>
      </w:r>
      <w:r w:rsidR="007F1100">
        <w:t xml:space="preserve">AEMC has recommended </w:t>
      </w:r>
      <w:r w:rsidR="00D35BE7">
        <w:t>developing the</w:t>
      </w:r>
      <w:r w:rsidR="007F1100">
        <w:t xml:space="preserve"> capacity trading platform </w:t>
      </w:r>
      <w:r w:rsidR="00D2625A">
        <w:t xml:space="preserve">to </w:t>
      </w:r>
      <w:r w:rsidR="005F064E">
        <w:t>sell services such as forward, backhaul and bi-directional transportation services, hub and storage services.</w:t>
      </w:r>
      <w:r w:rsidR="00FB0A4E">
        <w:rPr>
          <w:rStyle w:val="FootnoteReference"/>
        </w:rPr>
        <w:footnoteReference w:id="15"/>
      </w:r>
      <w:r w:rsidR="005F064E">
        <w:t xml:space="preserve"> </w:t>
      </w:r>
      <w:r w:rsidR="00D179CB">
        <w:t>The standardisation of terms and conditions</w:t>
      </w:r>
      <w:r w:rsidR="00FB0A4E">
        <w:t xml:space="preserve"> will help facilitate this</w:t>
      </w:r>
      <w:r w:rsidR="00D179CB">
        <w:t xml:space="preserve">. However, </w:t>
      </w:r>
      <w:r w:rsidR="00FB0A4E">
        <w:t>there</w:t>
      </w:r>
      <w:r w:rsidR="00D179CB">
        <w:t xml:space="preserve"> remain challenges in developing an appropriate platform and governance arrangements for the platform and auction. </w:t>
      </w:r>
    </w:p>
    <w:p w14:paraId="2847DB86" w14:textId="77777777" w:rsidR="00D179CB" w:rsidRDefault="00D179CB" w:rsidP="00411F03"/>
    <w:p w14:paraId="3FBB55FC" w14:textId="3819234E" w:rsidR="00C330B2" w:rsidRDefault="0038336B">
      <w:r>
        <w:t xml:space="preserve">A key design question is </w:t>
      </w:r>
      <w:r w:rsidR="001E3BE7">
        <w:t xml:space="preserve">whether </w:t>
      </w:r>
      <w:r>
        <w:t>there should be a single trading platform</w:t>
      </w:r>
      <w:r w:rsidR="00001496">
        <w:t xml:space="preserve"> jointly operated by the pipeline owners</w:t>
      </w:r>
      <w:r>
        <w:t xml:space="preserve"> across the market</w:t>
      </w:r>
      <w:r w:rsidR="001E3BE7">
        <w:t xml:space="preserve">, </w:t>
      </w:r>
      <w:r>
        <w:t xml:space="preserve">or multiple platforms operated by </w:t>
      </w:r>
      <w:r w:rsidR="00001496">
        <w:t xml:space="preserve">individual </w:t>
      </w:r>
      <w:r>
        <w:t xml:space="preserve">pipeline owners. </w:t>
      </w:r>
      <w:r w:rsidR="0013465E">
        <w:t xml:space="preserve">PIAC has reservations about pipeline owners operating the trading </w:t>
      </w:r>
      <w:r w:rsidR="00EE6548">
        <w:t>platforms,</w:t>
      </w:r>
      <w:r w:rsidR="00FF6CEC">
        <w:t xml:space="preserve"> as there is greater potential for conflict of interest</w:t>
      </w:r>
      <w:r w:rsidR="0013465E">
        <w:t>. The Australian Energy Market Operator</w:t>
      </w:r>
      <w:r w:rsidR="00A74B4A">
        <w:t xml:space="preserve"> (AEMO)</w:t>
      </w:r>
      <w:r w:rsidR="0013465E">
        <w:t xml:space="preserve"> was</w:t>
      </w:r>
      <w:r w:rsidR="00942FAF">
        <w:t xml:space="preserve"> established to manage</w:t>
      </w:r>
      <w:r w:rsidR="0013465E">
        <w:t xml:space="preserve"> </w:t>
      </w:r>
      <w:r w:rsidR="00BD0DD1">
        <w:t>the operational aspects of the National Energy M</w:t>
      </w:r>
      <w:r w:rsidR="0013465E">
        <w:t>arket</w:t>
      </w:r>
      <w:r w:rsidR="00BD0DD1">
        <w:t xml:space="preserve"> (NEM)</w:t>
      </w:r>
      <w:r w:rsidR="0013465E">
        <w:t xml:space="preserve"> and as such should be the one to manage t</w:t>
      </w:r>
      <w:r w:rsidR="00EE6548">
        <w:t>he trading platform</w:t>
      </w:r>
      <w:r w:rsidR="001E3BE7">
        <w:t xml:space="preserve"> as well</w:t>
      </w:r>
      <w:r w:rsidR="0013465E">
        <w:t xml:space="preserve">. </w:t>
      </w:r>
      <w:r w:rsidR="002B0BFA">
        <w:t xml:space="preserve">The </w:t>
      </w:r>
      <w:r w:rsidR="004B3CE3">
        <w:t>AEMC notes</w:t>
      </w:r>
      <w:r w:rsidR="0013465E">
        <w:t xml:space="preserve"> in the discussion paper</w:t>
      </w:r>
      <w:r w:rsidR="004B3CE3">
        <w:t xml:space="preserve"> that it is </w:t>
      </w:r>
      <w:r w:rsidR="0013465E">
        <w:t xml:space="preserve">open to a third option, which would expand the role of the trading hub at </w:t>
      </w:r>
      <w:proofErr w:type="spellStart"/>
      <w:r w:rsidR="0013465E">
        <w:t>W</w:t>
      </w:r>
      <w:r w:rsidR="0013465E" w:rsidRPr="0013465E">
        <w:t>allumbilla</w:t>
      </w:r>
      <w:proofErr w:type="spellEnd"/>
      <w:r w:rsidR="0013465E">
        <w:t xml:space="preserve">, Queensland, to </w:t>
      </w:r>
      <w:r w:rsidR="00A74B4A">
        <w:t xml:space="preserve">include a </w:t>
      </w:r>
      <w:r w:rsidR="00942FAF">
        <w:t>capacity-trading</w:t>
      </w:r>
      <w:r w:rsidR="00A74B4A">
        <w:t xml:space="preserve"> platform. AEMO already operates this trading hub and would expand its role to manage the capacity trading platform.</w:t>
      </w:r>
      <w:r w:rsidR="00FB0A4E">
        <w:rPr>
          <w:rStyle w:val="FootnoteReference"/>
        </w:rPr>
        <w:footnoteReference w:id="16"/>
      </w:r>
      <w:r w:rsidR="00A74B4A">
        <w:t xml:space="preserve"> PIAC supports this alternative arrangement and considers a single trading platform to </w:t>
      </w:r>
      <w:r w:rsidR="002B0BFA">
        <w:t xml:space="preserve">be </w:t>
      </w:r>
      <w:r w:rsidR="00A74B4A">
        <w:t>more appropriate and in line with the goals of the review</w:t>
      </w:r>
      <w:r w:rsidR="004B3CE3">
        <w:t xml:space="preserve">, which is </w:t>
      </w:r>
      <w:r w:rsidR="00A74B4A">
        <w:t xml:space="preserve">to create a more liquid and active market across the east coast. </w:t>
      </w:r>
    </w:p>
    <w:p w14:paraId="5D20FEB9" w14:textId="77777777" w:rsidR="00FF6CEC" w:rsidRDefault="00FF6CEC"/>
    <w:p w14:paraId="27A3B5E7" w14:textId="390BB84A" w:rsidR="00942FAF" w:rsidRDefault="00FB0A4E">
      <w:r>
        <w:t>A final point of possible concern is the potential for bilateral trades o</w:t>
      </w:r>
      <w:r w:rsidR="00E75823">
        <w:t>utside of the trading platforms</w:t>
      </w:r>
      <w:r>
        <w:t xml:space="preserve">. </w:t>
      </w:r>
      <w:r w:rsidR="00F06E67">
        <w:t xml:space="preserve">PIAC </w:t>
      </w:r>
      <w:r w:rsidR="00E11E0F">
        <w:t>has concerns</w:t>
      </w:r>
      <w:r w:rsidR="00F06E67">
        <w:t xml:space="preserve"> about allowing trades outside of the trading platform, as this reduces the transparency of the system and reduces price discovery,</w:t>
      </w:r>
      <w:r w:rsidR="003E0E80">
        <w:t xml:space="preserve"> and </w:t>
      </w:r>
      <w:r w:rsidR="00257FF3">
        <w:t xml:space="preserve">also </w:t>
      </w:r>
      <w:r w:rsidR="003E0E80">
        <w:t>does not guarantee non-discriminatory access</w:t>
      </w:r>
      <w:r w:rsidR="00257FF3">
        <w:t>,</w:t>
      </w:r>
      <w:r w:rsidR="00F06E67">
        <w:t xml:space="preserve"> as raised by the AEMC.</w:t>
      </w:r>
      <w:r w:rsidR="00F06E67">
        <w:rPr>
          <w:rStyle w:val="FootnoteReference"/>
        </w:rPr>
        <w:footnoteReference w:id="17"/>
      </w:r>
      <w:r w:rsidR="00F06E67">
        <w:t xml:space="preserve"> </w:t>
      </w:r>
      <w:r>
        <w:t xml:space="preserve">The discussion paper lists several concerns that may mean trades outside of the platform remain </w:t>
      </w:r>
      <w:r w:rsidR="00F06E67">
        <w:t>necessary;</w:t>
      </w:r>
      <w:r>
        <w:t xml:space="preserve"> particularly</w:t>
      </w:r>
      <w:r w:rsidR="00F06E67">
        <w:t xml:space="preserve"> the fee</w:t>
      </w:r>
      <w:r w:rsidR="00C37537">
        <w:t>-</w:t>
      </w:r>
      <w:r w:rsidR="00F06E67">
        <w:t>to</w:t>
      </w:r>
      <w:r w:rsidR="00C37537">
        <w:t>-</w:t>
      </w:r>
      <w:r w:rsidR="00F06E67">
        <w:t>use the trading platform may be prohibitive for one-of</w:t>
      </w:r>
      <w:r w:rsidR="00C37537">
        <w:t>f</w:t>
      </w:r>
      <w:r w:rsidR="00F06E67">
        <w:t xml:space="preserve"> trades.</w:t>
      </w:r>
      <w:r w:rsidR="003E0E80">
        <w:rPr>
          <w:rStyle w:val="FootnoteReference"/>
        </w:rPr>
        <w:footnoteReference w:id="18"/>
      </w:r>
      <w:r w:rsidR="003E3950">
        <w:t xml:space="preserve"> Trading outside of the trading platform is allowed in some circumstances as long as the details of these trades is published on the trading platform prior to the finalisation of the trade to allow time for a third party to outbid the current trade details.</w:t>
      </w:r>
      <w:r w:rsidR="003079B7">
        <w:rPr>
          <w:rStyle w:val="FootnoteReference"/>
        </w:rPr>
        <w:footnoteReference w:id="19"/>
      </w:r>
      <w:r w:rsidR="003E3950">
        <w:t xml:space="preserve"> </w:t>
      </w:r>
      <w:r w:rsidR="00F06E67">
        <w:t xml:space="preserve"> PIAC </w:t>
      </w:r>
      <w:r w:rsidR="00E16062">
        <w:t xml:space="preserve">is of the view that </w:t>
      </w:r>
      <w:r w:rsidR="00F06E67">
        <w:t>there is potential to develop a fee structure that would cover one-off trades and be flexible enough to cover the differ</w:t>
      </w:r>
      <w:r w:rsidR="00A46889">
        <w:t>ent</w:t>
      </w:r>
      <w:r w:rsidR="00F06E67">
        <w:t xml:space="preserve"> trading options. </w:t>
      </w:r>
    </w:p>
    <w:p w14:paraId="4785B269" w14:textId="48EF4886" w:rsidR="00A96B9B" w:rsidRDefault="00A96B9B" w:rsidP="00A96B9B">
      <w:pPr>
        <w:pStyle w:val="Recommendation"/>
      </w:pPr>
      <w:r>
        <w:t>Recommendation 5</w:t>
      </w:r>
    </w:p>
    <w:p w14:paraId="583D7646" w14:textId="01EFD8EE" w:rsidR="00A96B9B" w:rsidRPr="00A96B9B" w:rsidRDefault="00A96B9B" w:rsidP="00A96B9B">
      <w:pPr>
        <w:pStyle w:val="Recommendationtext"/>
      </w:pPr>
      <w:r>
        <w:t xml:space="preserve">PIAC recommends that a single trading platform </w:t>
      </w:r>
      <w:r w:rsidR="00117F37">
        <w:t xml:space="preserve">for </w:t>
      </w:r>
      <w:r>
        <w:t>the east coast market be adopted, as this w</w:t>
      </w:r>
      <w:r w:rsidR="00584E74">
        <w:t>ill</w:t>
      </w:r>
      <w:r>
        <w:t xml:space="preserve"> better </w:t>
      </w:r>
      <w:r w:rsidR="00117F37">
        <w:t xml:space="preserve">facilitate </w:t>
      </w:r>
      <w:r>
        <w:t xml:space="preserve">trading across the market. </w:t>
      </w:r>
    </w:p>
    <w:p w14:paraId="10DE6CC8" w14:textId="00249EF4" w:rsidR="00C330B2" w:rsidRDefault="00A96B9B" w:rsidP="00A96B9B">
      <w:pPr>
        <w:pStyle w:val="Recommendation"/>
      </w:pPr>
      <w:r>
        <w:t>Recommendation 6</w:t>
      </w:r>
    </w:p>
    <w:p w14:paraId="5FF8110B" w14:textId="6AA3BAFD" w:rsidR="00A96B9B" w:rsidRDefault="00A96B9B" w:rsidP="00A96B9B">
      <w:pPr>
        <w:pStyle w:val="Recommendationtext"/>
      </w:pPr>
      <w:r>
        <w:t xml:space="preserve">PIAC recommends that </w:t>
      </w:r>
      <w:r w:rsidR="00117F37">
        <w:t>AEMO</w:t>
      </w:r>
      <w:r>
        <w:t xml:space="preserve"> be responsible for operatin</w:t>
      </w:r>
      <w:r w:rsidR="00546C0D">
        <w:t>g the capacity trading platform.</w:t>
      </w:r>
    </w:p>
    <w:p w14:paraId="4AB2C6E9" w14:textId="42F5B79A" w:rsidR="00A96B9B" w:rsidRDefault="00027374" w:rsidP="00027374">
      <w:pPr>
        <w:pStyle w:val="Recommendation"/>
      </w:pPr>
      <w:r>
        <w:t>Recommendation 7</w:t>
      </w:r>
    </w:p>
    <w:p w14:paraId="3FFFEC07" w14:textId="659F59F8" w:rsidR="00C330B2" w:rsidRDefault="00027374" w:rsidP="00C67D10">
      <w:pPr>
        <w:pStyle w:val="Recommendationtext"/>
      </w:pPr>
      <w:r>
        <w:t>PIAC recommends that bilateral trading outside of the platforms not be allowed, unless sufficient measures are taken to allow third parties to compete for the capacity and that the price and contract details be published on the platform</w:t>
      </w:r>
      <w:r w:rsidR="002B0BFA">
        <w:t>, in a manner</w:t>
      </w:r>
      <w:r>
        <w:t xml:space="preserve"> similar to the US model.</w:t>
      </w:r>
      <w:r>
        <w:rPr>
          <w:rStyle w:val="FootnoteReference"/>
        </w:rPr>
        <w:footnoteReference w:id="20"/>
      </w:r>
      <w:r>
        <w:t xml:space="preserve"> </w:t>
      </w:r>
    </w:p>
    <w:p w14:paraId="0FF5119F" w14:textId="6571A7F1" w:rsidR="0062423D" w:rsidRDefault="0062423D" w:rsidP="0062423D">
      <w:pPr>
        <w:pStyle w:val="Heading2"/>
      </w:pPr>
      <w:r>
        <w:t>C</w:t>
      </w:r>
      <w:r w:rsidR="007F75CF">
        <w:t xml:space="preserve">apacity </w:t>
      </w:r>
      <w:r>
        <w:t xml:space="preserve">auction design </w:t>
      </w:r>
    </w:p>
    <w:p w14:paraId="3460177B" w14:textId="08A7DA20" w:rsidR="0062423D" w:rsidRDefault="001B7248" w:rsidP="0062423D">
      <w:r>
        <w:t xml:space="preserve">The capacity auction will be used to trade contracted but un-nominated capacity </w:t>
      </w:r>
      <w:r w:rsidR="00C04DF5">
        <w:t xml:space="preserve">across the system. </w:t>
      </w:r>
      <w:r w:rsidR="004173E3">
        <w:t xml:space="preserve">The final design of the auction is to be determined, however </w:t>
      </w:r>
      <w:r w:rsidR="002B0BFA">
        <w:t xml:space="preserve">the </w:t>
      </w:r>
      <w:r w:rsidR="004173E3">
        <w:t xml:space="preserve">AEMC has developed a series of options and preferences. PIAC </w:t>
      </w:r>
      <w:r w:rsidR="003B0AE4">
        <w:t>supports</w:t>
      </w:r>
      <w:r w:rsidR="004173E3">
        <w:t xml:space="preserve"> </w:t>
      </w:r>
      <w:r w:rsidR="002B0BFA">
        <w:t xml:space="preserve">the </w:t>
      </w:r>
      <w:r w:rsidR="0094105F">
        <w:t>AEMC</w:t>
      </w:r>
      <w:r w:rsidR="003B0AE4">
        <w:t>’</w:t>
      </w:r>
      <w:r w:rsidR="0094105F">
        <w:t>s preliminary preferences as outlined in the discussion paper</w:t>
      </w:r>
      <w:r w:rsidR="0094105F">
        <w:rPr>
          <w:rStyle w:val="FootnoteReference"/>
        </w:rPr>
        <w:footnoteReference w:id="21"/>
      </w:r>
      <w:r w:rsidR="0094105F">
        <w:t xml:space="preserve"> </w:t>
      </w:r>
      <w:r w:rsidR="003B0AE4">
        <w:t xml:space="preserve">but </w:t>
      </w:r>
      <w:proofErr w:type="gramStart"/>
      <w:r w:rsidR="0094105F">
        <w:t>has</w:t>
      </w:r>
      <w:proofErr w:type="gramEnd"/>
      <w:r w:rsidR="0094105F">
        <w:t xml:space="preserve"> concerns about the method for determining the winning combination of bids. </w:t>
      </w:r>
      <w:r w:rsidR="002B0BFA">
        <w:t xml:space="preserve">The </w:t>
      </w:r>
      <w:r w:rsidR="0094105F">
        <w:t>AEMC has indicated</w:t>
      </w:r>
      <w:r w:rsidR="002B0BFA">
        <w:t xml:space="preserve"> that</w:t>
      </w:r>
      <w:r w:rsidR="0094105F">
        <w:t xml:space="preserve"> its preference is to select bids that maximise profit</w:t>
      </w:r>
      <w:r w:rsidR="00881EAE">
        <w:t>. However, it is not clear for whom the profit is supposed to be maximised.</w:t>
      </w:r>
      <w:r w:rsidR="00F61A93">
        <w:rPr>
          <w:rStyle w:val="FootnoteReference"/>
        </w:rPr>
        <w:footnoteReference w:id="22"/>
      </w:r>
      <w:r w:rsidR="0094105F">
        <w:t xml:space="preserve"> PIAC supports a method that maximises utilisation of the system rather than one that maximises profit. </w:t>
      </w:r>
      <w:r w:rsidR="00463538">
        <w:t xml:space="preserve">Consumers will </w:t>
      </w:r>
      <w:r w:rsidR="009D717C">
        <w:t xml:space="preserve">benefit from a system that maximises utilisation of capacity at an efficient price, and maximising use of capacity and the system benefits pipeline owners, by signalling when and where investment may be needed in the system. </w:t>
      </w:r>
    </w:p>
    <w:p w14:paraId="3BE735A9" w14:textId="77777777" w:rsidR="00A91E11" w:rsidRDefault="00A91E11" w:rsidP="0062423D"/>
    <w:p w14:paraId="30027547" w14:textId="29AEFC24" w:rsidR="00A91E11" w:rsidRDefault="00A91E11" w:rsidP="0062423D">
      <w:r>
        <w:t xml:space="preserve">AEMC has not indicated </w:t>
      </w:r>
      <w:proofErr w:type="gramStart"/>
      <w:r w:rsidR="00BD0DD1">
        <w:t>who</w:t>
      </w:r>
      <w:proofErr w:type="gramEnd"/>
      <w:r>
        <w:t xml:space="preserve"> it prefers as the auction manager</w:t>
      </w:r>
      <w:r w:rsidR="00BD0DD1">
        <w:t>/operator</w:t>
      </w:r>
      <w:r w:rsidR="002B0BFA">
        <w:t>, selecting from</w:t>
      </w:r>
      <w:r w:rsidR="00BD0DD1">
        <w:t xml:space="preserve"> pipeline owners acting collectively, individual pipeline owners or AEMO. PIAC recommends that AEMO is the </w:t>
      </w:r>
      <w:r w:rsidR="002B0BFA">
        <w:t xml:space="preserve">preferred </w:t>
      </w:r>
      <w:r w:rsidR="00BD0DD1">
        <w:t xml:space="preserve">auction operator as </w:t>
      </w:r>
      <w:r w:rsidR="0008023E">
        <w:t xml:space="preserve">it is an </w:t>
      </w:r>
      <w:r w:rsidR="00BD0DD1">
        <w:t>independent operator and</w:t>
      </w:r>
      <w:r w:rsidR="00E933DF">
        <w:t>,</w:t>
      </w:r>
      <w:r w:rsidR="00BD0DD1">
        <w:t xml:space="preserve"> as previously state</w:t>
      </w:r>
      <w:r w:rsidR="00E933DF">
        <w:t>d,</w:t>
      </w:r>
      <w:r w:rsidR="00BD0DD1">
        <w:t xml:space="preserve"> </w:t>
      </w:r>
      <w:r w:rsidR="00E933DF">
        <w:t xml:space="preserve">is </w:t>
      </w:r>
      <w:r w:rsidR="00BD0DD1">
        <w:t>the designated</w:t>
      </w:r>
      <w:r w:rsidR="00F61A93">
        <w:t xml:space="preserve"> market operator across the NEM</w:t>
      </w:r>
      <w:r w:rsidR="00E933DF">
        <w:t>. PIAC has previously stated that A</w:t>
      </w:r>
      <w:r w:rsidR="00F61A93">
        <w:t xml:space="preserve">EMO would be </w:t>
      </w:r>
      <w:r w:rsidR="00E933DF">
        <w:t xml:space="preserve">best placed </w:t>
      </w:r>
      <w:r w:rsidR="00F61A93">
        <w:t xml:space="preserve">to run the trading platforms in combination with its role as auction operator. </w:t>
      </w:r>
    </w:p>
    <w:p w14:paraId="2B59A354" w14:textId="5C4C29E6" w:rsidR="001B7B97" w:rsidRDefault="001B7B97" w:rsidP="001B7B97">
      <w:pPr>
        <w:pStyle w:val="Recommendation"/>
      </w:pPr>
      <w:r>
        <w:t>Recommendation 8</w:t>
      </w:r>
    </w:p>
    <w:p w14:paraId="0A7C4412" w14:textId="35464161" w:rsidR="001B7B97" w:rsidRDefault="001B7B97" w:rsidP="001B7B97">
      <w:pPr>
        <w:pStyle w:val="Recommendationtext"/>
      </w:pPr>
      <w:r>
        <w:t xml:space="preserve">PIAC recommends that </w:t>
      </w:r>
      <w:r w:rsidR="00E933DF">
        <w:t xml:space="preserve">the </w:t>
      </w:r>
      <w:r>
        <w:t xml:space="preserve">selection of the wining combination of bids </w:t>
      </w:r>
      <w:proofErr w:type="gramStart"/>
      <w:r>
        <w:t>is</w:t>
      </w:r>
      <w:proofErr w:type="gramEnd"/>
      <w:r>
        <w:t xml:space="preserve"> done to maximise utilisation of capacity and the system, rather than profit. </w:t>
      </w:r>
    </w:p>
    <w:p w14:paraId="1D9C6255" w14:textId="25573AC5" w:rsidR="001B7B97" w:rsidRDefault="001B7B97" w:rsidP="001B7B97">
      <w:pPr>
        <w:pStyle w:val="Recommendation"/>
      </w:pPr>
      <w:r>
        <w:t>Recommendation 9</w:t>
      </w:r>
    </w:p>
    <w:p w14:paraId="7DBF0CB3" w14:textId="57EAB231" w:rsidR="001B7B97" w:rsidRPr="001B7B97" w:rsidRDefault="001B7B97" w:rsidP="001B7B97">
      <w:pPr>
        <w:pStyle w:val="Recommendationtext"/>
      </w:pPr>
      <w:r>
        <w:t xml:space="preserve">PIAC recommends that AEMO </w:t>
      </w:r>
      <w:proofErr w:type="gramStart"/>
      <w:r>
        <w:t>is</w:t>
      </w:r>
      <w:proofErr w:type="gramEnd"/>
      <w:r>
        <w:t xml:space="preserve"> nominated as the auction operator in addition to </w:t>
      </w:r>
      <w:r w:rsidR="004D170D">
        <w:t xml:space="preserve">its </w:t>
      </w:r>
      <w:r>
        <w:t>role as trading platform ope</w:t>
      </w:r>
      <w:r w:rsidR="001D0608">
        <w:t xml:space="preserve">rator and </w:t>
      </w:r>
      <w:r w:rsidR="004D170D">
        <w:t xml:space="preserve">its </w:t>
      </w:r>
      <w:r w:rsidR="001D0608">
        <w:t xml:space="preserve">existing capacities as market operator. </w:t>
      </w:r>
    </w:p>
    <w:p w14:paraId="1C4E2DEF" w14:textId="22463540" w:rsidR="00C67D10" w:rsidRPr="00C67D10" w:rsidRDefault="00C67D10" w:rsidP="001F4577">
      <w:pPr>
        <w:pStyle w:val="Heading2"/>
      </w:pPr>
      <w:r>
        <w:t xml:space="preserve">Information provision </w:t>
      </w:r>
    </w:p>
    <w:p w14:paraId="3B15F313" w14:textId="29D48048" w:rsidR="00C330B2" w:rsidRDefault="001F4577">
      <w:r>
        <w:t>The level of information provision has yet to be determine</w:t>
      </w:r>
      <w:r w:rsidR="0059056E">
        <w:t>d</w:t>
      </w:r>
      <w:r>
        <w:t xml:space="preserve">, although </w:t>
      </w:r>
      <w:r w:rsidR="002B0BFA">
        <w:t xml:space="preserve">the </w:t>
      </w:r>
      <w:r>
        <w:t xml:space="preserve">AEMC has previously indicated that price and key terms and conditions for trades should be published to ensure that actual or perceived discriminatory access to capacity does not occur. In addition, PIAC considers that </w:t>
      </w:r>
      <w:r w:rsidR="00632981">
        <w:t>all information that is not confidential should be made</w:t>
      </w:r>
      <w:r>
        <w:t xml:space="preserve"> public to ensure full transparency</w:t>
      </w:r>
      <w:r w:rsidR="00AC2A08">
        <w:t xml:space="preserve"> within the system and</w:t>
      </w:r>
      <w:r w:rsidR="0059056E">
        <w:t xml:space="preserve"> this</w:t>
      </w:r>
      <w:r w:rsidR="00AC2A08">
        <w:t xml:space="preserve"> should apply equally to all primary and secondary trades.</w:t>
      </w:r>
    </w:p>
    <w:p w14:paraId="76D076BB" w14:textId="3D2B3B39" w:rsidR="00AC2A08" w:rsidRDefault="00AC2A08" w:rsidP="00AC2A08">
      <w:pPr>
        <w:pStyle w:val="Recommendation"/>
      </w:pPr>
      <w:r>
        <w:t>Recommendation 10</w:t>
      </w:r>
    </w:p>
    <w:p w14:paraId="541B0667" w14:textId="4CFBC97A" w:rsidR="00C330B2" w:rsidRDefault="00AC2A08" w:rsidP="00AC2A08">
      <w:pPr>
        <w:pStyle w:val="Recommendationtext"/>
      </w:pPr>
      <w:r>
        <w:t xml:space="preserve">PIAC recommends that a policy of full transparency be adopted when it comes to information provision of trades and auctions. </w:t>
      </w:r>
    </w:p>
    <w:p w14:paraId="2BD189D7" w14:textId="3BBFCDFB" w:rsidR="00C330B2" w:rsidRDefault="0042466A" w:rsidP="0042466A">
      <w:pPr>
        <w:pStyle w:val="Heading1"/>
      </w:pPr>
      <w:r>
        <w:t xml:space="preserve">Conclusion </w:t>
      </w:r>
    </w:p>
    <w:p w14:paraId="65F3242D" w14:textId="028019CA" w:rsidR="0042466A" w:rsidRPr="0042466A" w:rsidRDefault="0042466A" w:rsidP="0042466A">
      <w:r>
        <w:t xml:space="preserve">PIAC </w:t>
      </w:r>
      <w:r w:rsidR="00902574">
        <w:t>supports the</w:t>
      </w:r>
      <w:r>
        <w:t xml:space="preserve"> moves to improve tra</w:t>
      </w:r>
      <w:r w:rsidR="004D3A71">
        <w:t xml:space="preserve">ding, however </w:t>
      </w:r>
      <w:r w:rsidR="00C32F1A">
        <w:t>PIAC</w:t>
      </w:r>
      <w:r w:rsidR="00EC3749">
        <w:t xml:space="preserve"> has</w:t>
      </w:r>
      <w:r w:rsidR="004D3A71">
        <w:t xml:space="preserve"> concerns </w:t>
      </w:r>
      <w:r w:rsidR="00B049CC">
        <w:t xml:space="preserve">about </w:t>
      </w:r>
      <w:r w:rsidR="004D3A71">
        <w:t xml:space="preserve">the level of regulation of this system and remain cautious </w:t>
      </w:r>
      <w:r w:rsidR="00D57904">
        <w:t>about</w:t>
      </w:r>
      <w:r w:rsidR="004D3A71">
        <w:t xml:space="preserve"> the effectiveness of these measures in improving the affordability and supply of gas to residential customers.</w:t>
      </w:r>
      <w:r w:rsidR="00953634">
        <w:t xml:space="preserve"> PIAC recommends that the development and adoption of the suite of recommendations to facilitate trading and capacity utilisation in the pipeline transmission be undertaken </w:t>
      </w:r>
      <w:r w:rsidR="00065AD0">
        <w:t xml:space="preserve">on the basis of </w:t>
      </w:r>
      <w:r w:rsidR="00953634">
        <w:t xml:space="preserve">a </w:t>
      </w:r>
      <w:r w:rsidR="00005C4D">
        <w:t>regulatory-</w:t>
      </w:r>
      <w:r w:rsidR="00953634">
        <w:t xml:space="preserve">led approach. In addition, PIAC recommends that AEMO be the responsible market operator for the trading platform and auction. </w:t>
      </w:r>
    </w:p>
    <w:sectPr w:rsidR="0042466A" w:rsidRPr="0042466A" w:rsidSect="00A345A0">
      <w:headerReference w:type="default" r:id="rId11"/>
      <w:footerReference w:type="even" r:id="rId12"/>
      <w:footerReference w:type="default" r:id="rId13"/>
      <w:pgSz w:w="11901" w:h="16840"/>
      <w:pgMar w:top="1531" w:right="992" w:bottom="1418" w:left="1418" w:header="851" w:footer="82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5716D1" w14:textId="77777777" w:rsidR="00F80998" w:rsidRDefault="00F80998">
      <w:r>
        <w:separator/>
      </w:r>
    </w:p>
  </w:endnote>
  <w:endnote w:type="continuationSeparator" w:id="0">
    <w:p w14:paraId="0BC4F5DD" w14:textId="77777777" w:rsidR="00F80998" w:rsidRDefault="00F8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Myriad Pro 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3E59" w14:textId="77777777" w:rsidR="00F80998" w:rsidRDefault="00F80998">
    <w:pPr>
      <w:pStyle w:val="Footer"/>
    </w:pPr>
    <w:r>
      <w:rPr>
        <w:noProof/>
        <w:lang w:val="en-US"/>
      </w:rPr>
      <mc:AlternateContent>
        <mc:Choice Requires="wps">
          <w:drawing>
            <wp:anchor distT="0" distB="0" distL="114300" distR="114300" simplePos="0" relativeHeight="251657728" behindDoc="0" locked="0" layoutInCell="1" allowOverlap="0" wp14:anchorId="3B75E1EC" wp14:editId="3468F0AE">
              <wp:simplePos x="0" y="0"/>
              <wp:positionH relativeFrom="column">
                <wp:posOffset>-163195</wp:posOffset>
              </wp:positionH>
              <wp:positionV relativeFrom="page">
                <wp:posOffset>9718040</wp:posOffset>
              </wp:positionV>
              <wp:extent cx="41148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7FF0F" w14:textId="77777777" w:rsidR="00F80998" w:rsidRDefault="00F80998" w:rsidP="00521EFA">
                          <w:pPr>
                            <w:rPr>
                              <w:sz w:val="20"/>
                            </w:rPr>
                          </w:pPr>
                          <w:r>
                            <w:rPr>
                              <w:sz w:val="20"/>
                            </w:rPr>
                            <w:t>Level 5, 175 Liverpool Street, Sydney NSW 2000</w:t>
                          </w:r>
                        </w:p>
                        <w:p w14:paraId="6DD0B23F" w14:textId="77777777" w:rsidR="00F80998" w:rsidRPr="00EC7B6E" w:rsidRDefault="00F80998">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0" type="#_x0000_t202" style="position:absolute;margin-left:-12.8pt;margin-top:765.2pt;width:32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" o:allowoverlap="f" stroked="f">
              <v:textbox>
                <w:txbxContent>
                  <w:p w14:paraId="2007FF0F" w14:textId="77777777" w:rsidR="002B0BFA" w:rsidRDefault="002B0BFA" w:rsidP="00521EFA">
                    <w:pPr>
                      <w:rPr>
                        <w:sz w:val="20"/>
                      </w:rPr>
                    </w:pPr>
                    <w:r>
                      <w:rPr>
                        <w:sz w:val="20"/>
                      </w:rPr>
                      <w:t>Level 5, 175 Liverpool Street, Sydney NSW 2000</w:t>
                    </w:r>
                  </w:p>
                  <w:p w14:paraId="6DD0B23F" w14:textId="77777777" w:rsidR="002B0BFA" w:rsidRPr="00EC7B6E" w:rsidRDefault="002B0BFA">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v:textbox>
              <w10:wrap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88F85" w14:textId="484B0EB5" w:rsidR="00F80998" w:rsidRPr="00EC7B6E" w:rsidRDefault="00F80998">
    <w:pPr>
      <w:pStyle w:val="Footer"/>
      <w:pBdr>
        <w:top w:val="dotted" w:sz="4" w:space="1" w:color="auto"/>
      </w:pBdr>
      <w:spacing w:before="240"/>
      <w:ind w:right="357"/>
      <w:rPr>
        <w:rStyle w:val="PageNumber"/>
      </w:rPr>
    </w:pPr>
    <w:r w:rsidRPr="00EC7B6E">
      <w:rPr>
        <w:rStyle w:val="PageNumber"/>
      </w:rPr>
      <w:fldChar w:fldCharType="begin"/>
    </w:r>
    <w:r w:rsidRPr="00EC7B6E">
      <w:rPr>
        <w:rStyle w:val="PageNumber"/>
      </w:rPr>
      <w:instrText xml:space="preserve"> PAGE </w:instrText>
    </w:r>
    <w:r w:rsidRPr="00EC7B6E">
      <w:rPr>
        <w:rStyle w:val="PageNumber"/>
      </w:rPr>
      <w:fldChar w:fldCharType="separate"/>
    </w:r>
    <w:r w:rsidR="007F334A">
      <w:rPr>
        <w:rStyle w:val="PageNumber"/>
        <w:noProof/>
      </w:rPr>
      <w:t>6</w:t>
    </w:r>
    <w:r w:rsidRPr="00EC7B6E">
      <w:rPr>
        <w:rStyle w:val="PageNumber"/>
      </w:rPr>
      <w:fldChar w:fldCharType="end"/>
    </w:r>
    <w:r w:rsidRPr="00EC7B6E">
      <w:rPr>
        <w:rStyle w:val="PageNumber"/>
      </w:rPr>
      <w:t xml:space="preserve"> • Public Interest Advocacy Centre </w:t>
    </w:r>
    <w:r w:rsidRPr="00CD7D1C">
      <w:rPr>
        <w:rStyle w:val="PageNumber"/>
      </w:rPr>
      <w:t xml:space="preserve">• </w:t>
    </w:r>
    <w:r w:rsidRPr="00CD7D1C">
      <w:rPr>
        <w:sz w:val="20"/>
      </w:rPr>
      <w:t>Transformation of the gas transmission system</w:t>
    </w:r>
    <w:r w:rsidRPr="00CD7D1C">
      <w:rPr>
        <w:b/>
        <w:sz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0A885" w14:textId="6D1A7B61" w:rsidR="00F80998" w:rsidRPr="00CD7D1C" w:rsidRDefault="00F80998" w:rsidP="00CD7D1C">
    <w:pPr>
      <w:pStyle w:val="Footer"/>
      <w:pBdr>
        <w:top w:val="dotted" w:sz="4" w:space="1" w:color="auto"/>
      </w:pBdr>
      <w:spacing w:before="240"/>
      <w:ind w:right="-29"/>
      <w:jc w:val="right"/>
      <w:rPr>
        <w:b/>
        <w:sz w:val="20"/>
        <w:highlight w:val="yellow"/>
      </w:rPr>
    </w:pPr>
    <w:r>
      <w:rPr>
        <w:rStyle w:val="PageNumber"/>
      </w:rPr>
      <w:t xml:space="preserve">Public Interest Advocacy Centre • </w:t>
    </w:r>
    <w:r w:rsidRPr="00CD7D1C">
      <w:rPr>
        <w:sz w:val="20"/>
      </w:rPr>
      <w:t>Transformation of the gas transmission system</w:t>
    </w:r>
    <w:r w:rsidRPr="00CD7D1C">
      <w:rPr>
        <w:b/>
        <w:sz w:val="20"/>
      </w:rPr>
      <w:t xml:space="preserve">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F334A">
      <w:rPr>
        <w:rStyle w:val="PageNumber"/>
        <w:noProof/>
      </w:rPr>
      <w:t>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242A3" w14:textId="77777777" w:rsidR="00F80998" w:rsidRDefault="00F80998">
      <w:r>
        <w:separator/>
      </w:r>
    </w:p>
  </w:footnote>
  <w:footnote w:type="continuationSeparator" w:id="0">
    <w:p w14:paraId="791C8D1E" w14:textId="77777777" w:rsidR="00F80998" w:rsidRDefault="00F80998">
      <w:r>
        <w:continuationSeparator/>
      </w:r>
    </w:p>
  </w:footnote>
  <w:footnote w:id="1">
    <w:p w14:paraId="1C666A7F" w14:textId="306D72AA" w:rsidR="00F80998" w:rsidRPr="0057601C" w:rsidRDefault="00F80998">
      <w:pPr>
        <w:pStyle w:val="FootnoteText"/>
        <w:rPr>
          <w:lang w:val="en-US"/>
        </w:rPr>
      </w:pPr>
      <w:r>
        <w:rPr>
          <w:rStyle w:val="FootnoteReference"/>
        </w:rPr>
        <w:footnoteRef/>
      </w:r>
      <w:r>
        <w:t xml:space="preserve"> </w:t>
      </w:r>
      <w:r>
        <w:rPr>
          <w:lang w:val="en-US"/>
        </w:rPr>
        <w:tab/>
      </w:r>
      <w:proofErr w:type="gramStart"/>
      <w:r>
        <w:rPr>
          <w:lang w:val="en-US"/>
        </w:rPr>
        <w:t xml:space="preserve">AEMC, </w:t>
      </w:r>
      <w:r w:rsidRPr="0057601C">
        <w:rPr>
          <w:i/>
          <w:lang w:val="en-US"/>
        </w:rPr>
        <w:t xml:space="preserve">Pipeline access discussion paper, </w:t>
      </w:r>
      <w:r>
        <w:rPr>
          <w:i/>
          <w:lang w:val="en-US"/>
        </w:rPr>
        <w:t>e</w:t>
      </w:r>
      <w:r w:rsidRPr="0057601C">
        <w:rPr>
          <w:i/>
          <w:lang w:val="en-US"/>
        </w:rPr>
        <w:t>ast coast gas market and pipelines frameworks review</w:t>
      </w:r>
      <w:r>
        <w:rPr>
          <w:lang w:val="en-US"/>
        </w:rPr>
        <w:t>.</w:t>
      </w:r>
      <w:proofErr w:type="gramEnd"/>
      <w:r>
        <w:rPr>
          <w:lang w:val="en-US"/>
        </w:rPr>
        <w:t xml:space="preserve"> 2016. </w:t>
      </w:r>
    </w:p>
  </w:footnote>
  <w:footnote w:id="2">
    <w:p w14:paraId="087E599B" w14:textId="45001D36" w:rsidR="00F80998" w:rsidRPr="0098066F" w:rsidRDefault="00F80998">
      <w:pPr>
        <w:pStyle w:val="FootnoteText"/>
        <w:rPr>
          <w:lang w:val="en-US"/>
        </w:rPr>
      </w:pPr>
      <w:r>
        <w:rPr>
          <w:rStyle w:val="FootnoteReference"/>
        </w:rPr>
        <w:footnoteRef/>
      </w:r>
      <w:r>
        <w:t xml:space="preserve"> </w:t>
      </w:r>
      <w:r>
        <w:tab/>
      </w:r>
      <w:proofErr w:type="gramStart"/>
      <w:r>
        <w:rPr>
          <w:lang w:val="en-US"/>
        </w:rPr>
        <w:t xml:space="preserve">AEMC, </w:t>
      </w:r>
      <w:r>
        <w:rPr>
          <w:i/>
        </w:rPr>
        <w:t>Stage 2 Draft report.</w:t>
      </w:r>
      <w:proofErr w:type="gramEnd"/>
      <w:r>
        <w:rPr>
          <w:i/>
        </w:rPr>
        <w:t xml:space="preserve"> East coast gas market and pipeline frameworks review,</w:t>
      </w:r>
      <w:r w:rsidRPr="009042CB">
        <w:rPr>
          <w:i/>
        </w:rPr>
        <w:t xml:space="preserve"> 2015</w:t>
      </w:r>
      <w:r>
        <w:t>.</w:t>
      </w:r>
    </w:p>
  </w:footnote>
  <w:footnote w:id="3">
    <w:p w14:paraId="37AA4DD0" w14:textId="2AF94F7F" w:rsidR="00F80998" w:rsidRPr="0098066F" w:rsidRDefault="00F80998">
      <w:pPr>
        <w:pStyle w:val="FootnoteText"/>
        <w:rPr>
          <w:lang w:val="en-US"/>
        </w:rPr>
      </w:pPr>
      <w:r>
        <w:rPr>
          <w:rStyle w:val="FootnoteReference"/>
        </w:rPr>
        <w:footnoteRef/>
      </w:r>
      <w:r>
        <w:t xml:space="preserve"> </w:t>
      </w:r>
      <w:r>
        <w:rPr>
          <w:lang w:val="en-US"/>
        </w:rPr>
        <w:tab/>
        <w:t xml:space="preserve">AEMC see above no </w:t>
      </w:r>
      <w:r>
        <w:rPr>
          <w:lang w:val="en-US"/>
        </w:rPr>
        <w:fldChar w:fldCharType="begin"/>
      </w:r>
      <w:r>
        <w:rPr>
          <w:lang w:val="en-US"/>
        </w:rPr>
        <w:instrText xml:space="preserve"> NOTEREF _Ref319230741 \h </w:instrText>
      </w:r>
      <w:r>
        <w:rPr>
          <w:lang w:val="en-US"/>
        </w:rPr>
      </w:r>
      <w:r>
        <w:rPr>
          <w:lang w:val="en-US"/>
        </w:rPr>
        <w:fldChar w:fldCharType="separate"/>
      </w:r>
      <w:r>
        <w:rPr>
          <w:lang w:val="en-US"/>
        </w:rPr>
        <w:t>1</w:t>
      </w:r>
      <w:r>
        <w:rPr>
          <w:lang w:val="en-US"/>
        </w:rPr>
        <w:fldChar w:fldCharType="end"/>
      </w:r>
      <w:r>
        <w:rPr>
          <w:lang w:val="en-US"/>
        </w:rPr>
        <w:t xml:space="preserve">, </w:t>
      </w:r>
      <w:proofErr w:type="spellStart"/>
      <w:r>
        <w:rPr>
          <w:lang w:val="en-US"/>
        </w:rPr>
        <w:t>i</w:t>
      </w:r>
      <w:proofErr w:type="spellEnd"/>
      <w:r>
        <w:rPr>
          <w:lang w:val="en-US"/>
        </w:rPr>
        <w:t xml:space="preserve">. </w:t>
      </w:r>
    </w:p>
  </w:footnote>
  <w:footnote w:id="4">
    <w:p w14:paraId="1C1E136A" w14:textId="548831E3" w:rsidR="00F80998" w:rsidRPr="00AC46F2" w:rsidRDefault="00F80998">
      <w:pPr>
        <w:pStyle w:val="FootnoteText"/>
        <w:rPr>
          <w:lang w:val="en-US"/>
        </w:rPr>
      </w:pPr>
      <w:r>
        <w:rPr>
          <w:rStyle w:val="FootnoteReference"/>
        </w:rPr>
        <w:footnoteRef/>
      </w:r>
      <w:r>
        <w:t xml:space="preserve"> </w:t>
      </w:r>
      <w:r>
        <w:rPr>
          <w:lang w:val="en-US"/>
        </w:rPr>
        <w:tab/>
      </w:r>
      <w:proofErr w:type="gramStart"/>
      <w:r>
        <w:rPr>
          <w:lang w:val="en-US"/>
        </w:rPr>
        <w:t xml:space="preserve">Ibid, </w:t>
      </w:r>
      <w:proofErr w:type="spellStart"/>
      <w:r>
        <w:rPr>
          <w:lang w:val="en-US"/>
        </w:rPr>
        <w:t>i</w:t>
      </w:r>
      <w:proofErr w:type="spellEnd"/>
      <w:r>
        <w:rPr>
          <w:lang w:val="en-US"/>
        </w:rPr>
        <w:t>.</w:t>
      </w:r>
      <w:proofErr w:type="gramEnd"/>
      <w:r>
        <w:rPr>
          <w:lang w:val="en-US"/>
        </w:rPr>
        <w:t xml:space="preserve"> </w:t>
      </w:r>
    </w:p>
  </w:footnote>
  <w:footnote w:id="5">
    <w:p w14:paraId="7713E70E" w14:textId="47796524" w:rsidR="00F80998" w:rsidRPr="008D490E" w:rsidRDefault="00F80998">
      <w:pPr>
        <w:pStyle w:val="FootnoteText"/>
        <w:rPr>
          <w:lang w:val="en-US"/>
        </w:rPr>
      </w:pPr>
      <w:r>
        <w:rPr>
          <w:rStyle w:val="FootnoteReference"/>
        </w:rPr>
        <w:footnoteRef/>
      </w:r>
      <w:r>
        <w:t xml:space="preserve"> </w:t>
      </w:r>
      <w:r>
        <w:rPr>
          <w:lang w:val="en-US"/>
        </w:rPr>
        <w:tab/>
      </w:r>
      <w:proofErr w:type="gramStart"/>
      <w:r>
        <w:rPr>
          <w:lang w:val="en-US"/>
        </w:rPr>
        <w:t>Ibid, 2.</w:t>
      </w:r>
      <w:proofErr w:type="gramEnd"/>
      <w:r>
        <w:rPr>
          <w:lang w:val="en-US"/>
        </w:rPr>
        <w:t xml:space="preserve"> </w:t>
      </w:r>
    </w:p>
  </w:footnote>
  <w:footnote w:id="6">
    <w:p w14:paraId="07D2206A" w14:textId="1BD1EDCB" w:rsidR="00F80998" w:rsidRPr="002A5521" w:rsidRDefault="00F80998">
      <w:pPr>
        <w:pStyle w:val="FootnoteText"/>
        <w:rPr>
          <w:lang w:val="en-US"/>
        </w:rPr>
      </w:pPr>
      <w:r>
        <w:rPr>
          <w:rStyle w:val="FootnoteReference"/>
        </w:rPr>
        <w:footnoteRef/>
      </w:r>
      <w:r>
        <w:t xml:space="preserve"> </w:t>
      </w:r>
      <w:r>
        <w:rPr>
          <w:lang w:val="en-US"/>
        </w:rPr>
        <w:tab/>
      </w:r>
      <w:proofErr w:type="gramStart"/>
      <w:r>
        <w:rPr>
          <w:lang w:val="en-US"/>
        </w:rPr>
        <w:t>Ibid 5.</w:t>
      </w:r>
      <w:proofErr w:type="gramEnd"/>
      <w:r>
        <w:rPr>
          <w:lang w:val="en-US"/>
        </w:rPr>
        <w:t xml:space="preserve"> </w:t>
      </w:r>
    </w:p>
  </w:footnote>
  <w:footnote w:id="7">
    <w:p w14:paraId="33AE13B6" w14:textId="5627AEAA" w:rsidR="00F80998" w:rsidRPr="003766CC" w:rsidRDefault="00F80998">
      <w:pPr>
        <w:pStyle w:val="FootnoteText"/>
        <w:rPr>
          <w:lang w:val="en-US"/>
        </w:rPr>
      </w:pPr>
      <w:r>
        <w:rPr>
          <w:rStyle w:val="FootnoteReference"/>
        </w:rPr>
        <w:footnoteRef/>
      </w:r>
      <w:r>
        <w:t xml:space="preserve"> </w:t>
      </w:r>
      <w:r>
        <w:rPr>
          <w:lang w:val="en-US"/>
        </w:rPr>
        <w:tab/>
      </w:r>
      <w:r w:rsidRPr="00D23060">
        <w:rPr>
          <w:lang w:val="en-AU"/>
        </w:rPr>
        <w:t>Mr Rod Sims, Chairman ACCC, speech at Australian Domestic Gas Outlook Conference, Sydney, 9 March 2016.</w:t>
      </w:r>
    </w:p>
  </w:footnote>
  <w:footnote w:id="8">
    <w:p w14:paraId="2448DD4E" w14:textId="1328F13A" w:rsidR="00F80998" w:rsidRPr="00E109E1" w:rsidRDefault="00F80998">
      <w:pPr>
        <w:pStyle w:val="FootnoteText"/>
        <w:rPr>
          <w:lang w:val="en-US"/>
        </w:rPr>
      </w:pPr>
      <w:r>
        <w:rPr>
          <w:rStyle w:val="FootnoteReference"/>
        </w:rPr>
        <w:footnoteRef/>
      </w:r>
      <w:r>
        <w:t xml:space="preserve"> </w:t>
      </w:r>
      <w:r>
        <w:tab/>
      </w:r>
      <w:proofErr w:type="gramStart"/>
      <w:r>
        <w:t xml:space="preserve">AEMC, n </w:t>
      </w:r>
      <w:r>
        <w:fldChar w:fldCharType="begin"/>
      </w:r>
      <w:r>
        <w:instrText xml:space="preserve"> NOTEREF _Ref319230741 \h </w:instrText>
      </w:r>
      <w:r>
        <w:fldChar w:fldCharType="separate"/>
      </w:r>
      <w:r>
        <w:t>1</w:t>
      </w:r>
      <w:r>
        <w:fldChar w:fldCharType="end"/>
      </w:r>
      <w:r>
        <w:t>, 9.</w:t>
      </w:r>
      <w:proofErr w:type="gramEnd"/>
    </w:p>
  </w:footnote>
  <w:footnote w:id="9">
    <w:p w14:paraId="6B5728FD" w14:textId="345847F2" w:rsidR="00F80998" w:rsidRPr="00ED38FA" w:rsidRDefault="00F80998">
      <w:pPr>
        <w:pStyle w:val="FootnoteText"/>
        <w:rPr>
          <w:lang w:val="en-US"/>
        </w:rPr>
      </w:pPr>
      <w:r>
        <w:rPr>
          <w:rStyle w:val="FootnoteReference"/>
        </w:rPr>
        <w:footnoteRef/>
      </w:r>
      <w:r>
        <w:t xml:space="preserve"> </w:t>
      </w:r>
      <w:r>
        <w:rPr>
          <w:lang w:val="en-US"/>
        </w:rPr>
        <w:tab/>
        <w:t>PIAC</w:t>
      </w:r>
      <w:r w:rsidRPr="00A345A0">
        <w:rPr>
          <w:i/>
          <w:lang w:val="en-US"/>
        </w:rPr>
        <w:t xml:space="preserve">, </w:t>
      </w:r>
      <w:proofErr w:type="gramStart"/>
      <w:r w:rsidRPr="00A345A0">
        <w:rPr>
          <w:i/>
          <w:lang w:val="en-US"/>
        </w:rPr>
        <w:t>From</w:t>
      </w:r>
      <w:proofErr w:type="gramEnd"/>
      <w:r w:rsidRPr="00A345A0">
        <w:rPr>
          <w:i/>
          <w:lang w:val="en-US"/>
        </w:rPr>
        <w:t xml:space="preserve"> complex fragments to competitive consumer-focused markets. Submission in response to Review of governance arrangements for Australian Energy Markets: Issues Paper</w:t>
      </w:r>
      <w:r>
        <w:rPr>
          <w:lang w:val="en-US"/>
        </w:rPr>
        <w:t>, 2015,16.</w:t>
      </w:r>
    </w:p>
  </w:footnote>
  <w:footnote w:id="10">
    <w:p w14:paraId="4DECCFBA" w14:textId="39CCD0ED" w:rsidR="00F80998" w:rsidRPr="00D23060" w:rsidRDefault="00F80998">
      <w:pPr>
        <w:pStyle w:val="FootnoteText"/>
        <w:rPr>
          <w:lang w:val="en-US"/>
        </w:rPr>
      </w:pPr>
      <w:r>
        <w:rPr>
          <w:rStyle w:val="FootnoteReference"/>
        </w:rPr>
        <w:footnoteRef/>
      </w:r>
      <w:r>
        <w:t xml:space="preserve"> </w:t>
      </w:r>
      <w:r>
        <w:rPr>
          <w:lang w:val="en-US"/>
        </w:rPr>
        <w:tab/>
      </w:r>
      <w:proofErr w:type="gramStart"/>
      <w:r>
        <w:rPr>
          <w:lang w:val="en-US"/>
        </w:rPr>
        <w:t xml:space="preserve">AEMC n </w:t>
      </w:r>
      <w:r>
        <w:rPr>
          <w:lang w:val="en-US"/>
        </w:rPr>
        <w:fldChar w:fldCharType="begin"/>
      </w:r>
      <w:r>
        <w:rPr>
          <w:lang w:val="en-US"/>
        </w:rPr>
        <w:instrText xml:space="preserve"> NOTEREF _Ref319230741 \h </w:instrText>
      </w:r>
      <w:r>
        <w:rPr>
          <w:lang w:val="en-US"/>
        </w:rPr>
      </w:r>
      <w:r>
        <w:rPr>
          <w:lang w:val="en-US"/>
        </w:rPr>
        <w:fldChar w:fldCharType="separate"/>
      </w:r>
      <w:r>
        <w:rPr>
          <w:lang w:val="en-US"/>
        </w:rPr>
        <w:t>1</w:t>
      </w:r>
      <w:r>
        <w:rPr>
          <w:lang w:val="en-US"/>
        </w:rPr>
        <w:fldChar w:fldCharType="end"/>
      </w:r>
      <w:r>
        <w:rPr>
          <w:lang w:val="en-US"/>
        </w:rPr>
        <w:t>, 8.</w:t>
      </w:r>
      <w:proofErr w:type="gramEnd"/>
    </w:p>
  </w:footnote>
  <w:footnote w:id="11">
    <w:p w14:paraId="3575CBAA" w14:textId="38B29218" w:rsidR="00F80998" w:rsidRPr="00BE2E9F" w:rsidRDefault="00F80998">
      <w:pPr>
        <w:pStyle w:val="FootnoteText"/>
        <w:rPr>
          <w:lang w:val="en-US"/>
        </w:rPr>
      </w:pPr>
      <w:r>
        <w:rPr>
          <w:rStyle w:val="FootnoteReference"/>
        </w:rPr>
        <w:footnoteRef/>
      </w:r>
      <w:r>
        <w:t xml:space="preserve"> </w:t>
      </w:r>
      <w:r>
        <w:rPr>
          <w:lang w:val="en-US"/>
        </w:rPr>
        <w:tab/>
      </w:r>
      <w:proofErr w:type="gramStart"/>
      <w:r>
        <w:rPr>
          <w:lang w:val="en-US"/>
        </w:rPr>
        <w:t>Ibid, 11 &amp; 20-21.</w:t>
      </w:r>
      <w:proofErr w:type="gramEnd"/>
      <w:r>
        <w:rPr>
          <w:lang w:val="en-US"/>
        </w:rPr>
        <w:t xml:space="preserve"> </w:t>
      </w:r>
    </w:p>
  </w:footnote>
  <w:footnote w:id="12">
    <w:p w14:paraId="72F9B777" w14:textId="6286CE64" w:rsidR="00F80998" w:rsidRPr="00D96AA6" w:rsidRDefault="00F80998">
      <w:pPr>
        <w:pStyle w:val="FootnoteText"/>
        <w:rPr>
          <w:lang w:val="en-US"/>
        </w:rPr>
      </w:pPr>
      <w:r>
        <w:rPr>
          <w:rStyle w:val="FootnoteReference"/>
        </w:rPr>
        <w:footnoteRef/>
      </w:r>
      <w:r>
        <w:t xml:space="preserve"> </w:t>
      </w:r>
      <w:r>
        <w:rPr>
          <w:lang w:val="en-US"/>
        </w:rPr>
        <w:tab/>
      </w:r>
      <w:proofErr w:type="gramStart"/>
      <w:r>
        <w:rPr>
          <w:lang w:val="en-US"/>
        </w:rPr>
        <w:t>Ibid, 13.</w:t>
      </w:r>
      <w:proofErr w:type="gramEnd"/>
    </w:p>
  </w:footnote>
  <w:footnote w:id="13">
    <w:p w14:paraId="50495A30" w14:textId="594F124E" w:rsidR="00F80998" w:rsidRPr="00D96AA6" w:rsidRDefault="00F80998">
      <w:pPr>
        <w:pStyle w:val="FootnoteText"/>
        <w:rPr>
          <w:lang w:val="en-US"/>
        </w:rPr>
      </w:pPr>
      <w:r>
        <w:rPr>
          <w:rStyle w:val="FootnoteReference"/>
        </w:rPr>
        <w:footnoteRef/>
      </w:r>
      <w:r>
        <w:t xml:space="preserve"> </w:t>
      </w:r>
      <w:r>
        <w:rPr>
          <w:lang w:val="en-US"/>
        </w:rPr>
        <w:tab/>
      </w:r>
      <w:proofErr w:type="gramStart"/>
      <w:r>
        <w:rPr>
          <w:lang w:val="en-US"/>
        </w:rPr>
        <w:t>Ibid, 13-14.</w:t>
      </w:r>
      <w:proofErr w:type="gramEnd"/>
    </w:p>
  </w:footnote>
  <w:footnote w:id="14">
    <w:p w14:paraId="58BE24E3" w14:textId="68A8B562" w:rsidR="00F80998" w:rsidRPr="00D96AA6" w:rsidRDefault="00F80998">
      <w:pPr>
        <w:pStyle w:val="FootnoteText"/>
        <w:rPr>
          <w:lang w:val="en-US"/>
        </w:rPr>
      </w:pPr>
      <w:r>
        <w:rPr>
          <w:rStyle w:val="FootnoteReference"/>
        </w:rPr>
        <w:footnoteRef/>
      </w:r>
      <w:r>
        <w:t xml:space="preserve"> </w:t>
      </w:r>
      <w:r>
        <w:rPr>
          <w:lang w:val="en-US"/>
        </w:rPr>
        <w:tab/>
      </w:r>
      <w:proofErr w:type="gramStart"/>
      <w:r>
        <w:rPr>
          <w:lang w:val="en-US"/>
        </w:rPr>
        <w:t>Ibid 15.</w:t>
      </w:r>
      <w:proofErr w:type="gramEnd"/>
    </w:p>
  </w:footnote>
  <w:footnote w:id="15">
    <w:p w14:paraId="722311F9" w14:textId="254FF5C4" w:rsidR="00F80998" w:rsidRPr="00FB0A4E" w:rsidRDefault="00F80998">
      <w:pPr>
        <w:pStyle w:val="FootnoteText"/>
        <w:rPr>
          <w:lang w:val="en-US"/>
        </w:rPr>
      </w:pPr>
      <w:r>
        <w:rPr>
          <w:rStyle w:val="FootnoteReference"/>
        </w:rPr>
        <w:footnoteRef/>
      </w:r>
      <w:r>
        <w:t xml:space="preserve"> </w:t>
      </w:r>
      <w:r>
        <w:rPr>
          <w:lang w:val="en-US"/>
        </w:rPr>
        <w:tab/>
      </w:r>
      <w:proofErr w:type="gramStart"/>
      <w:r>
        <w:rPr>
          <w:lang w:val="en-US"/>
        </w:rPr>
        <w:t>Ibid 24.</w:t>
      </w:r>
      <w:proofErr w:type="gramEnd"/>
    </w:p>
  </w:footnote>
  <w:footnote w:id="16">
    <w:p w14:paraId="09135A4A" w14:textId="799BF4F5" w:rsidR="00F80998" w:rsidRPr="00FB0A4E" w:rsidRDefault="00F80998">
      <w:pPr>
        <w:pStyle w:val="FootnoteText"/>
        <w:rPr>
          <w:lang w:val="en-US"/>
        </w:rPr>
      </w:pPr>
      <w:r>
        <w:rPr>
          <w:rStyle w:val="FootnoteReference"/>
        </w:rPr>
        <w:footnoteRef/>
      </w:r>
      <w:r>
        <w:t xml:space="preserve"> </w:t>
      </w:r>
      <w:r>
        <w:rPr>
          <w:lang w:val="en-US"/>
        </w:rPr>
        <w:tab/>
      </w:r>
      <w:proofErr w:type="gramStart"/>
      <w:r>
        <w:rPr>
          <w:lang w:val="en-US"/>
        </w:rPr>
        <w:t>Ibid 29.</w:t>
      </w:r>
      <w:proofErr w:type="gramEnd"/>
    </w:p>
  </w:footnote>
  <w:footnote w:id="17">
    <w:p w14:paraId="111FF718" w14:textId="5336D526" w:rsidR="00F80998" w:rsidRPr="00F06E67" w:rsidRDefault="00F80998">
      <w:pPr>
        <w:pStyle w:val="FootnoteText"/>
        <w:rPr>
          <w:lang w:val="en-US"/>
        </w:rPr>
      </w:pPr>
      <w:r>
        <w:rPr>
          <w:rStyle w:val="FootnoteReference"/>
        </w:rPr>
        <w:footnoteRef/>
      </w:r>
      <w:r>
        <w:t xml:space="preserve"> </w:t>
      </w:r>
      <w:r>
        <w:rPr>
          <w:lang w:val="en-US"/>
        </w:rPr>
        <w:tab/>
      </w:r>
      <w:proofErr w:type="gramStart"/>
      <w:r>
        <w:rPr>
          <w:lang w:val="en-US"/>
        </w:rPr>
        <w:t>Ibid 33.</w:t>
      </w:r>
      <w:proofErr w:type="gramEnd"/>
    </w:p>
  </w:footnote>
  <w:footnote w:id="18">
    <w:p w14:paraId="64D509F3" w14:textId="339AC2FB" w:rsidR="00F80998" w:rsidRPr="003E0E80" w:rsidRDefault="00F80998">
      <w:pPr>
        <w:pStyle w:val="FootnoteText"/>
        <w:rPr>
          <w:lang w:val="en-US"/>
        </w:rPr>
      </w:pPr>
      <w:r>
        <w:rPr>
          <w:rStyle w:val="FootnoteReference"/>
        </w:rPr>
        <w:footnoteRef/>
      </w:r>
      <w:r>
        <w:t xml:space="preserve"> </w:t>
      </w:r>
      <w:r>
        <w:rPr>
          <w:lang w:val="en-US"/>
        </w:rPr>
        <w:tab/>
      </w:r>
      <w:proofErr w:type="gramStart"/>
      <w:r>
        <w:rPr>
          <w:lang w:val="en-US"/>
        </w:rPr>
        <w:t>Ibid 33.</w:t>
      </w:r>
      <w:proofErr w:type="gramEnd"/>
      <w:r>
        <w:rPr>
          <w:lang w:val="en-US"/>
        </w:rPr>
        <w:t xml:space="preserve"> </w:t>
      </w:r>
    </w:p>
  </w:footnote>
  <w:footnote w:id="19">
    <w:p w14:paraId="7A985D8D" w14:textId="3D999E8D" w:rsidR="00F80998" w:rsidRPr="003079B7" w:rsidRDefault="00F80998">
      <w:pPr>
        <w:pStyle w:val="FootnoteText"/>
        <w:rPr>
          <w:lang w:val="en-US"/>
        </w:rPr>
      </w:pPr>
      <w:r>
        <w:rPr>
          <w:rStyle w:val="FootnoteReference"/>
        </w:rPr>
        <w:footnoteRef/>
      </w:r>
      <w:r>
        <w:t xml:space="preserve"> </w:t>
      </w:r>
      <w:r>
        <w:rPr>
          <w:lang w:val="en-US"/>
        </w:rPr>
        <w:tab/>
      </w:r>
      <w:proofErr w:type="gramStart"/>
      <w:r>
        <w:rPr>
          <w:lang w:val="en-US"/>
        </w:rPr>
        <w:t>Ibid 33.</w:t>
      </w:r>
      <w:proofErr w:type="gramEnd"/>
    </w:p>
  </w:footnote>
  <w:footnote w:id="20">
    <w:p w14:paraId="1DB4D57D" w14:textId="09B72FAA" w:rsidR="00F80998" w:rsidRPr="00027374" w:rsidRDefault="00F80998">
      <w:pPr>
        <w:pStyle w:val="FootnoteText"/>
        <w:rPr>
          <w:lang w:val="en-US"/>
        </w:rPr>
      </w:pPr>
      <w:r>
        <w:rPr>
          <w:rStyle w:val="FootnoteReference"/>
        </w:rPr>
        <w:footnoteRef/>
      </w:r>
      <w:r>
        <w:t xml:space="preserve"> </w:t>
      </w:r>
      <w:r>
        <w:rPr>
          <w:lang w:val="en-US"/>
        </w:rPr>
        <w:tab/>
      </w:r>
      <w:proofErr w:type="gramStart"/>
      <w:r>
        <w:rPr>
          <w:lang w:val="en-US"/>
        </w:rPr>
        <w:t>Ibid 33.</w:t>
      </w:r>
      <w:proofErr w:type="gramEnd"/>
      <w:r>
        <w:rPr>
          <w:lang w:val="en-US"/>
        </w:rPr>
        <w:t xml:space="preserve"> </w:t>
      </w:r>
    </w:p>
  </w:footnote>
  <w:footnote w:id="21">
    <w:p w14:paraId="1EEDE1BA" w14:textId="32F321A0" w:rsidR="00F80998" w:rsidRPr="0094105F" w:rsidRDefault="00F80998">
      <w:pPr>
        <w:pStyle w:val="FootnoteText"/>
        <w:rPr>
          <w:lang w:val="en-US"/>
        </w:rPr>
      </w:pPr>
      <w:r>
        <w:rPr>
          <w:rStyle w:val="FootnoteReference"/>
        </w:rPr>
        <w:footnoteRef/>
      </w:r>
      <w:r>
        <w:t xml:space="preserve"> </w:t>
      </w:r>
      <w:r>
        <w:rPr>
          <w:lang w:val="en-US"/>
        </w:rPr>
        <w:tab/>
      </w:r>
      <w:proofErr w:type="gramStart"/>
      <w:r>
        <w:rPr>
          <w:lang w:val="en-US"/>
        </w:rPr>
        <w:t>Ibid 57.</w:t>
      </w:r>
      <w:proofErr w:type="gramEnd"/>
      <w:r>
        <w:rPr>
          <w:lang w:val="en-US"/>
        </w:rPr>
        <w:t xml:space="preserve"> </w:t>
      </w:r>
    </w:p>
  </w:footnote>
  <w:footnote w:id="22">
    <w:p w14:paraId="29905C97" w14:textId="7418107D" w:rsidR="00F80998" w:rsidRPr="00F61A93" w:rsidRDefault="00F80998">
      <w:pPr>
        <w:pStyle w:val="FootnoteText"/>
        <w:rPr>
          <w:lang w:val="en-US"/>
        </w:rPr>
      </w:pPr>
      <w:r>
        <w:rPr>
          <w:rStyle w:val="FootnoteReference"/>
        </w:rPr>
        <w:footnoteRef/>
      </w:r>
      <w:r>
        <w:t xml:space="preserve"> </w:t>
      </w:r>
      <w:r>
        <w:rPr>
          <w:lang w:val="en-US"/>
        </w:rPr>
        <w:tab/>
      </w:r>
      <w:proofErr w:type="gramStart"/>
      <w:r>
        <w:rPr>
          <w:lang w:val="en-US"/>
        </w:rPr>
        <w:t>Ibid 51 and 57.</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20AB" w14:textId="77777777" w:rsidR="00F80998" w:rsidRDefault="00F80998">
    <w:pPr>
      <w:pStyle w:val="Header"/>
    </w:pPr>
    <w:r>
      <w:rPr>
        <w:noProof/>
        <w:lang w:val="en-US"/>
      </w:rPr>
      <mc:AlternateContent>
        <mc:Choice Requires="wps">
          <w:drawing>
            <wp:anchor distT="0" distB="0" distL="114300" distR="114300" simplePos="0" relativeHeight="251656704" behindDoc="0" locked="0" layoutInCell="1" allowOverlap="0" wp14:anchorId="22709381" wp14:editId="53D76FF0">
              <wp:simplePos x="0" y="0"/>
              <wp:positionH relativeFrom="column">
                <wp:posOffset>3984625</wp:posOffset>
              </wp:positionH>
              <wp:positionV relativeFrom="page">
                <wp:posOffset>524510</wp:posOffset>
              </wp:positionV>
              <wp:extent cx="2057400" cy="9611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611995"/>
                      </a:xfrm>
                      <a:prstGeom prst="rect">
                        <a:avLst/>
                      </a:prstGeom>
                      <a:solidFill>
                        <a:srgbClr val="C0C0C0"/>
                      </a:solidFill>
                      <a:ln w="9525">
                        <a:solidFill>
                          <a:srgbClr val="000000">
                            <a:alpha val="30000"/>
                          </a:srgbClr>
                        </a:solidFill>
                        <a:miter lim="800000"/>
                        <a:headEnd/>
                        <a:tailEnd/>
                      </a:ln>
                    </wps:spPr>
                    <wps:txbx>
                      <w:txbxContent>
                        <w:p w14:paraId="2184E6EA" w14:textId="77777777" w:rsidR="00F80998" w:rsidRDefault="00F809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9" type="#_x0000_t202" style="position:absolute;margin-left:313.75pt;margin-top:41.3pt;width:162pt;height:75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" o:allowoverlap="f" fillcolor="silver">
              <v:stroke opacity="19789f"/>
              <v:textbox>
                <w:txbxContent>
                  <w:p w14:paraId="2184E6EA" w14:textId="77777777" w:rsidR="002B0BFA" w:rsidRDefault="002B0BFA"/>
                </w:txbxContent>
              </v:textbox>
              <w10:wrap anchory="page"/>
            </v:shape>
          </w:pict>
        </mc:Fallback>
      </mc:AlternateContent>
    </w:r>
    <w:r>
      <w:rPr>
        <w:noProof/>
        <w:lang w:val="en-US"/>
      </w:rPr>
      <w:drawing>
        <wp:anchor distT="0" distB="0" distL="114300" distR="114300" simplePos="0" relativeHeight="251658752" behindDoc="0" locked="0" layoutInCell="1" allowOverlap="0" wp14:anchorId="0AEE2D3F" wp14:editId="6E4A824E">
          <wp:simplePos x="0" y="0"/>
          <wp:positionH relativeFrom="column">
            <wp:posOffset>-209550</wp:posOffset>
          </wp:positionH>
          <wp:positionV relativeFrom="page">
            <wp:posOffset>540385</wp:posOffset>
          </wp:positionV>
          <wp:extent cx="2218055" cy="2684145"/>
          <wp:effectExtent l="0" t="0" r="0" b="8255"/>
          <wp:wrapNone/>
          <wp:docPr id="3" name="Picture 3" descr="PIAC_RGB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C_RGB_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2684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B667" w14:textId="77777777" w:rsidR="00F80998" w:rsidRDefault="00F809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8232EC"/>
    <w:lvl w:ilvl="0">
      <w:start w:val="1"/>
      <w:numFmt w:val="bullet"/>
      <w:lvlText w:val=""/>
      <w:lvlJc w:val="left"/>
      <w:pPr>
        <w:tabs>
          <w:tab w:val="num" w:pos="360"/>
        </w:tabs>
        <w:ind w:left="360" w:hanging="360"/>
      </w:pPr>
      <w:rPr>
        <w:rFonts w:ascii="Symbol" w:hAnsi="Symbol" w:hint="default"/>
      </w:rPr>
    </w:lvl>
  </w:abstractNum>
  <w:abstractNum w:abstractNumId="1">
    <w:nsid w:val="042B0F7B"/>
    <w:multiLevelType w:val="multilevel"/>
    <w:tmpl w:val="0734B4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A22595E"/>
    <w:multiLevelType w:val="multilevel"/>
    <w:tmpl w:val="B74085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214640A1"/>
    <w:multiLevelType w:val="multilevel"/>
    <w:tmpl w:val="C812EF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4E441D7"/>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7295D35"/>
    <w:multiLevelType w:val="multilevel"/>
    <w:tmpl w:val="F47865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C165F4F"/>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nsid w:val="57D5582C"/>
    <w:multiLevelType w:val="hybridMultilevel"/>
    <w:tmpl w:val="BA803A20"/>
    <w:lvl w:ilvl="0" w:tplc="B91EA956">
      <w:start w:val="1"/>
      <w:numFmt w:val="decimal"/>
      <w:lvlText w:val="%1."/>
      <w:lvlJc w:val="left"/>
      <w:pPr>
        <w:tabs>
          <w:tab w:val="num" w:pos="425"/>
        </w:tabs>
        <w:ind w:left="425" w:hanging="425"/>
      </w:pPr>
      <w:rPr>
        <w:rFonts w:ascii="Myriad Pro Light" w:hAnsi="Myriad Pro Light"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0775E9"/>
    <w:multiLevelType w:val="hybridMultilevel"/>
    <w:tmpl w:val="2BAE2618"/>
    <w:lvl w:ilvl="0" w:tplc="F3F805AA">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567"/>
  <w:evenAndOddHeaders/>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ab2c0d,#ab2125,#8900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FA"/>
    <w:rsid w:val="00001496"/>
    <w:rsid w:val="00005C4D"/>
    <w:rsid w:val="00026C87"/>
    <w:rsid w:val="00027374"/>
    <w:rsid w:val="00037664"/>
    <w:rsid w:val="00065AD0"/>
    <w:rsid w:val="0008023E"/>
    <w:rsid w:val="00082CDF"/>
    <w:rsid w:val="00097929"/>
    <w:rsid w:val="000A1F02"/>
    <w:rsid w:val="000C0717"/>
    <w:rsid w:val="000C4E21"/>
    <w:rsid w:val="000D3D23"/>
    <w:rsid w:val="000D4969"/>
    <w:rsid w:val="001113F3"/>
    <w:rsid w:val="00117F37"/>
    <w:rsid w:val="001324B4"/>
    <w:rsid w:val="00132C0B"/>
    <w:rsid w:val="0013465E"/>
    <w:rsid w:val="001557DE"/>
    <w:rsid w:val="00161741"/>
    <w:rsid w:val="00166983"/>
    <w:rsid w:val="00192E1E"/>
    <w:rsid w:val="0019324A"/>
    <w:rsid w:val="001B7248"/>
    <w:rsid w:val="001B7B97"/>
    <w:rsid w:val="001D0608"/>
    <w:rsid w:val="001D3C34"/>
    <w:rsid w:val="001E3BE7"/>
    <w:rsid w:val="001F4577"/>
    <w:rsid w:val="00202D4C"/>
    <w:rsid w:val="00212830"/>
    <w:rsid w:val="0025022B"/>
    <w:rsid w:val="00256334"/>
    <w:rsid w:val="00257FF3"/>
    <w:rsid w:val="0027241A"/>
    <w:rsid w:val="00276ADB"/>
    <w:rsid w:val="00282925"/>
    <w:rsid w:val="00290104"/>
    <w:rsid w:val="002A5521"/>
    <w:rsid w:val="002A6437"/>
    <w:rsid w:val="002B0BFA"/>
    <w:rsid w:val="002D2BE4"/>
    <w:rsid w:val="003079B7"/>
    <w:rsid w:val="00310900"/>
    <w:rsid w:val="00326ED7"/>
    <w:rsid w:val="003301B0"/>
    <w:rsid w:val="00343318"/>
    <w:rsid w:val="003766CC"/>
    <w:rsid w:val="003823BA"/>
    <w:rsid w:val="0038336B"/>
    <w:rsid w:val="003A6CDA"/>
    <w:rsid w:val="003B0AE4"/>
    <w:rsid w:val="003D44E7"/>
    <w:rsid w:val="003D7878"/>
    <w:rsid w:val="003D7C98"/>
    <w:rsid w:val="003E0E80"/>
    <w:rsid w:val="003E3950"/>
    <w:rsid w:val="00411F03"/>
    <w:rsid w:val="004173E3"/>
    <w:rsid w:val="0042466A"/>
    <w:rsid w:val="004466DC"/>
    <w:rsid w:val="00452F68"/>
    <w:rsid w:val="00456429"/>
    <w:rsid w:val="00456A27"/>
    <w:rsid w:val="00463538"/>
    <w:rsid w:val="00473080"/>
    <w:rsid w:val="004759F3"/>
    <w:rsid w:val="00477DF7"/>
    <w:rsid w:val="00486153"/>
    <w:rsid w:val="00492C48"/>
    <w:rsid w:val="00494CE5"/>
    <w:rsid w:val="004B3CE3"/>
    <w:rsid w:val="004B4501"/>
    <w:rsid w:val="004B5361"/>
    <w:rsid w:val="004D170D"/>
    <w:rsid w:val="004D3A71"/>
    <w:rsid w:val="004D40AD"/>
    <w:rsid w:val="004D5F84"/>
    <w:rsid w:val="004E6D74"/>
    <w:rsid w:val="004F090E"/>
    <w:rsid w:val="00517B2D"/>
    <w:rsid w:val="00521EFA"/>
    <w:rsid w:val="00527A9F"/>
    <w:rsid w:val="00532116"/>
    <w:rsid w:val="00546C0D"/>
    <w:rsid w:val="0056477F"/>
    <w:rsid w:val="0057601C"/>
    <w:rsid w:val="00584E74"/>
    <w:rsid w:val="0059056E"/>
    <w:rsid w:val="005A5691"/>
    <w:rsid w:val="005A5A54"/>
    <w:rsid w:val="005A6A2E"/>
    <w:rsid w:val="005F03E5"/>
    <w:rsid w:val="005F064E"/>
    <w:rsid w:val="006019A2"/>
    <w:rsid w:val="00616C86"/>
    <w:rsid w:val="006237CC"/>
    <w:rsid w:val="0062423D"/>
    <w:rsid w:val="006308CD"/>
    <w:rsid w:val="00632981"/>
    <w:rsid w:val="006412A8"/>
    <w:rsid w:val="006754F9"/>
    <w:rsid w:val="00675C56"/>
    <w:rsid w:val="006A0C2F"/>
    <w:rsid w:val="006C48D5"/>
    <w:rsid w:val="006D2A46"/>
    <w:rsid w:val="00705E1E"/>
    <w:rsid w:val="00751F0B"/>
    <w:rsid w:val="00755065"/>
    <w:rsid w:val="0079779C"/>
    <w:rsid w:val="007E186D"/>
    <w:rsid w:val="007F1100"/>
    <w:rsid w:val="007F334A"/>
    <w:rsid w:val="007F6872"/>
    <w:rsid w:val="007F75CF"/>
    <w:rsid w:val="00833D04"/>
    <w:rsid w:val="00834D70"/>
    <w:rsid w:val="00844373"/>
    <w:rsid w:val="008552F1"/>
    <w:rsid w:val="0087072F"/>
    <w:rsid w:val="00881EAE"/>
    <w:rsid w:val="008B2694"/>
    <w:rsid w:val="008C06C5"/>
    <w:rsid w:val="008D490E"/>
    <w:rsid w:val="00902574"/>
    <w:rsid w:val="009328A7"/>
    <w:rsid w:val="00934AA3"/>
    <w:rsid w:val="0094105F"/>
    <w:rsid w:val="00942FAF"/>
    <w:rsid w:val="00946792"/>
    <w:rsid w:val="00953634"/>
    <w:rsid w:val="0095798E"/>
    <w:rsid w:val="00962BF3"/>
    <w:rsid w:val="00977F83"/>
    <w:rsid w:val="0098066F"/>
    <w:rsid w:val="009968B2"/>
    <w:rsid w:val="009B095F"/>
    <w:rsid w:val="009B0BBD"/>
    <w:rsid w:val="009B1377"/>
    <w:rsid w:val="009B29E9"/>
    <w:rsid w:val="009D717C"/>
    <w:rsid w:val="009E3B73"/>
    <w:rsid w:val="00A245FB"/>
    <w:rsid w:val="00A3305A"/>
    <w:rsid w:val="00A345A0"/>
    <w:rsid w:val="00A3565E"/>
    <w:rsid w:val="00A46889"/>
    <w:rsid w:val="00A5294B"/>
    <w:rsid w:val="00A52E56"/>
    <w:rsid w:val="00A74B4A"/>
    <w:rsid w:val="00A87778"/>
    <w:rsid w:val="00A91E11"/>
    <w:rsid w:val="00A91EF4"/>
    <w:rsid w:val="00A96B9B"/>
    <w:rsid w:val="00AC2A08"/>
    <w:rsid w:val="00AC46F2"/>
    <w:rsid w:val="00AC4DF1"/>
    <w:rsid w:val="00AC6A8F"/>
    <w:rsid w:val="00AD483B"/>
    <w:rsid w:val="00AE1C88"/>
    <w:rsid w:val="00B049CC"/>
    <w:rsid w:val="00B21AAE"/>
    <w:rsid w:val="00B64B68"/>
    <w:rsid w:val="00B750FF"/>
    <w:rsid w:val="00B82B9E"/>
    <w:rsid w:val="00BC4A98"/>
    <w:rsid w:val="00BD0DD1"/>
    <w:rsid w:val="00BE2E9F"/>
    <w:rsid w:val="00BE4771"/>
    <w:rsid w:val="00C04DF5"/>
    <w:rsid w:val="00C05AC6"/>
    <w:rsid w:val="00C32F1A"/>
    <w:rsid w:val="00C330B2"/>
    <w:rsid w:val="00C37537"/>
    <w:rsid w:val="00C51664"/>
    <w:rsid w:val="00C52B2D"/>
    <w:rsid w:val="00C67D10"/>
    <w:rsid w:val="00C70AA3"/>
    <w:rsid w:val="00C81743"/>
    <w:rsid w:val="00CC3163"/>
    <w:rsid w:val="00CD7D1C"/>
    <w:rsid w:val="00CF2B70"/>
    <w:rsid w:val="00D179CB"/>
    <w:rsid w:val="00D219FB"/>
    <w:rsid w:val="00D23060"/>
    <w:rsid w:val="00D2625A"/>
    <w:rsid w:val="00D32CB4"/>
    <w:rsid w:val="00D33C24"/>
    <w:rsid w:val="00D35BE7"/>
    <w:rsid w:val="00D47E47"/>
    <w:rsid w:val="00D57904"/>
    <w:rsid w:val="00D87638"/>
    <w:rsid w:val="00D96AA6"/>
    <w:rsid w:val="00DE7D46"/>
    <w:rsid w:val="00E109E1"/>
    <w:rsid w:val="00E11E0F"/>
    <w:rsid w:val="00E121DE"/>
    <w:rsid w:val="00E15400"/>
    <w:rsid w:val="00E16062"/>
    <w:rsid w:val="00E51E2C"/>
    <w:rsid w:val="00E524BE"/>
    <w:rsid w:val="00E54057"/>
    <w:rsid w:val="00E5671F"/>
    <w:rsid w:val="00E738F9"/>
    <w:rsid w:val="00E75823"/>
    <w:rsid w:val="00E933DF"/>
    <w:rsid w:val="00EA0714"/>
    <w:rsid w:val="00EB50F9"/>
    <w:rsid w:val="00EB74AF"/>
    <w:rsid w:val="00EC2FB0"/>
    <w:rsid w:val="00EC3749"/>
    <w:rsid w:val="00ED38FA"/>
    <w:rsid w:val="00EE2815"/>
    <w:rsid w:val="00EE6548"/>
    <w:rsid w:val="00EF19A3"/>
    <w:rsid w:val="00EF4298"/>
    <w:rsid w:val="00F06E67"/>
    <w:rsid w:val="00F341FA"/>
    <w:rsid w:val="00F36121"/>
    <w:rsid w:val="00F4762F"/>
    <w:rsid w:val="00F61A93"/>
    <w:rsid w:val="00F61B95"/>
    <w:rsid w:val="00F76FB0"/>
    <w:rsid w:val="00F80998"/>
    <w:rsid w:val="00FA6F7C"/>
    <w:rsid w:val="00FA7781"/>
    <w:rsid w:val="00FB0A4E"/>
    <w:rsid w:val="00FB4164"/>
    <w:rsid w:val="00FC42AB"/>
    <w:rsid w:val="00FF6CE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b2c0d,#ab2125,#890029"/>
    </o:shapedefaults>
    <o:shapelayout v:ext="edit">
      <o:idmap v:ext="edit" data="1"/>
    </o:shapelayout>
  </w:shapeDefaults>
  <w:decimalSymbol w:val="."/>
  <w:listSeparator w:val=","/>
  <w14:docId w14:val="4C5C89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qFormat/>
    <w:rsid w:val="00705E1E"/>
    <w:pPr>
      <w:keepNext/>
      <w:spacing w:before="240" w:after="60" w:line="240" w:lineRule="atLeast"/>
      <w:outlineLvl w:val="1"/>
    </w:pPr>
    <w:rPr>
      <w:b/>
      <w:sz w:val="26"/>
      <w:szCs w:val="28"/>
    </w:rPr>
  </w:style>
  <w:style w:type="paragraph" w:styleId="Heading3">
    <w:name w:val="heading 3"/>
    <w:basedOn w:val="Normal"/>
    <w:next w:val="Normal"/>
    <w:qFormat/>
    <w:pPr>
      <w:keepNext/>
      <w:spacing w:before="24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
    <w:basedOn w:val="Normal"/>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D44E7"/>
    <w:rPr>
      <w:sz w:val="18"/>
      <w:szCs w:val="18"/>
    </w:rPr>
  </w:style>
  <w:style w:type="paragraph" w:styleId="CommentText">
    <w:name w:val="annotation text"/>
    <w:basedOn w:val="Normal"/>
    <w:link w:val="CommentTextChar"/>
    <w:uiPriority w:val="99"/>
    <w:semiHidden/>
    <w:unhideWhenUsed/>
    <w:rsid w:val="003D44E7"/>
    <w:pPr>
      <w:spacing w:line="240" w:lineRule="auto"/>
    </w:pPr>
    <w:rPr>
      <w:sz w:val="24"/>
    </w:rPr>
  </w:style>
  <w:style w:type="character" w:customStyle="1" w:styleId="CommentTextChar">
    <w:name w:val="Comment Text Char"/>
    <w:basedOn w:val="DefaultParagraphFont"/>
    <w:link w:val="CommentText"/>
    <w:uiPriority w:val="99"/>
    <w:semiHidden/>
    <w:rsid w:val="003D44E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3D44E7"/>
    <w:rPr>
      <w:b/>
      <w:bCs/>
      <w:sz w:val="20"/>
      <w:szCs w:val="20"/>
    </w:rPr>
  </w:style>
  <w:style w:type="character" w:customStyle="1" w:styleId="CommentSubjectChar">
    <w:name w:val="Comment Subject Char"/>
    <w:basedOn w:val="CommentTextChar"/>
    <w:link w:val="CommentSubject"/>
    <w:uiPriority w:val="99"/>
    <w:semiHidden/>
    <w:rsid w:val="003D44E7"/>
    <w:rPr>
      <w:rFonts w:ascii="Arial" w:hAnsi="Arial"/>
      <w:b/>
      <w:bCs/>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qFormat/>
    <w:rsid w:val="00705E1E"/>
    <w:pPr>
      <w:keepNext/>
      <w:spacing w:before="240" w:after="60" w:line="240" w:lineRule="atLeast"/>
      <w:outlineLvl w:val="1"/>
    </w:pPr>
    <w:rPr>
      <w:b/>
      <w:sz w:val="26"/>
      <w:szCs w:val="28"/>
    </w:rPr>
  </w:style>
  <w:style w:type="paragraph" w:styleId="Heading3">
    <w:name w:val="heading 3"/>
    <w:basedOn w:val="Normal"/>
    <w:next w:val="Normal"/>
    <w:qFormat/>
    <w:pPr>
      <w:keepNext/>
      <w:spacing w:before="24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
    <w:basedOn w:val="Normal"/>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3D44E7"/>
    <w:rPr>
      <w:sz w:val="18"/>
      <w:szCs w:val="18"/>
    </w:rPr>
  </w:style>
  <w:style w:type="paragraph" w:styleId="CommentText">
    <w:name w:val="annotation text"/>
    <w:basedOn w:val="Normal"/>
    <w:link w:val="CommentTextChar"/>
    <w:uiPriority w:val="99"/>
    <w:semiHidden/>
    <w:unhideWhenUsed/>
    <w:rsid w:val="003D44E7"/>
    <w:pPr>
      <w:spacing w:line="240" w:lineRule="auto"/>
    </w:pPr>
    <w:rPr>
      <w:sz w:val="24"/>
    </w:rPr>
  </w:style>
  <w:style w:type="character" w:customStyle="1" w:styleId="CommentTextChar">
    <w:name w:val="Comment Text Char"/>
    <w:basedOn w:val="DefaultParagraphFont"/>
    <w:link w:val="CommentText"/>
    <w:uiPriority w:val="99"/>
    <w:semiHidden/>
    <w:rsid w:val="003D44E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3D44E7"/>
    <w:rPr>
      <w:b/>
      <w:bCs/>
      <w:sz w:val="20"/>
      <w:szCs w:val="20"/>
    </w:rPr>
  </w:style>
  <w:style w:type="character" w:customStyle="1" w:styleId="CommentSubjectChar">
    <w:name w:val="Comment Subject Char"/>
    <w:basedOn w:val="CommentTextChar"/>
    <w:link w:val="CommentSubject"/>
    <w:uiPriority w:val="99"/>
    <w:semiHidden/>
    <w:rsid w:val="003D44E7"/>
    <w:rPr>
      <w:rFonts w:ascii="Arial" w:hAnsi="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DE21-5F69-F242-9AC9-7A1C7344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2417</Words>
  <Characters>13777</Characters>
  <Application>Microsoft Macintosh Word</Application>
  <DocSecurity>0</DocSecurity>
  <Lines>114</Lines>
  <Paragraphs>32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Introduction</vt:lpstr>
      <vt:lpstr>    The Public Interest Advocacy Centre</vt:lpstr>
      <vt:lpstr>    PIAC’s work on [issue]</vt:lpstr>
      <vt:lpstr>        Heading 3</vt:lpstr>
      <vt:lpstr>[Numbered heading 1]</vt:lpstr>
      <vt:lpstr>    [Numbered heading 2]</vt:lpstr>
      <vt:lpstr>    Using Heading Styles</vt:lpstr>
    </vt:vector>
  </TitlesOfParts>
  <Company>Public Interest Advocacy Centre</Company>
  <LinksUpToDate>false</LinksUpToDate>
  <CharactersWithSpaces>16162</CharactersWithSpaces>
  <SharedDoc>false</SharedDoc>
  <HLinks>
    <vt:vector size="6" baseType="variant">
      <vt:variant>
        <vt:i4>7536658</vt:i4>
      </vt:variant>
      <vt:variant>
        <vt:i4>-1</vt:i4>
      </vt:variant>
      <vt:variant>
        <vt:i4>2051</vt:i4>
      </vt:variant>
      <vt:variant>
        <vt:i4>1</vt:i4>
      </vt:variant>
      <vt:variant>
        <vt:lpwstr>PIAC_RGB_ID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Kristal Burry</dc:creator>
  <cp:keywords/>
  <cp:lastModifiedBy>Kristal Burry</cp:lastModifiedBy>
  <cp:revision>2</cp:revision>
  <cp:lastPrinted>2010-04-07T07:36:00Z</cp:lastPrinted>
  <dcterms:created xsi:type="dcterms:W3CDTF">2016-03-28T22:59:00Z</dcterms:created>
  <dcterms:modified xsi:type="dcterms:W3CDTF">2016-03-28T22:59:00Z</dcterms:modified>
</cp:coreProperties>
</file>